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cs="黑体"/>
          <w:sz w:val="56"/>
          <w:szCs w:val="56"/>
        </w:rPr>
      </w:pPr>
      <w:bookmarkStart w:id="0" w:name="_Toc15377425"/>
      <w:bookmarkStart w:id="1" w:name="_Toc15396597"/>
      <w:bookmarkStart w:id="2" w:name="_Toc15377193"/>
      <w:bookmarkStart w:id="3" w:name="_Toc15378441"/>
      <w:bookmarkStart w:id="4" w:name="_Toc15396475"/>
    </w:p>
    <w:p>
      <w:pPr>
        <w:pStyle w:val="2"/>
        <w:rPr>
          <w:rFonts w:hint="eastAsia"/>
        </w:rPr>
      </w:pPr>
    </w:p>
    <w:p>
      <w:pPr>
        <w:jc w:val="center"/>
        <w:rPr>
          <w:rFonts w:ascii="黑体" w:eastAsia="黑体" w:cs="黑体"/>
          <w:sz w:val="56"/>
          <w:szCs w:val="56"/>
        </w:rPr>
      </w:pPr>
    </w:p>
    <w:p>
      <w:pPr>
        <w:jc w:val="center"/>
        <w:rPr>
          <w:rFonts w:ascii="黑体" w:eastAsia="黑体" w:cs="黑体"/>
          <w:sz w:val="56"/>
          <w:szCs w:val="56"/>
        </w:rPr>
      </w:pPr>
      <w:r>
        <w:rPr>
          <w:rFonts w:hint="eastAsia" w:ascii="黑体" w:eastAsia="黑体" w:cs="黑体"/>
          <w:sz w:val="56"/>
          <w:szCs w:val="56"/>
        </w:rPr>
        <w:t>202</w:t>
      </w:r>
      <w:r>
        <w:rPr>
          <w:rFonts w:hint="eastAsia" w:ascii="黑体" w:eastAsia="黑体" w:cs="黑体"/>
          <w:sz w:val="56"/>
          <w:szCs w:val="56"/>
          <w:lang w:val="en-US" w:eastAsia="zh-CN"/>
        </w:rPr>
        <w:t>4</w:t>
      </w:r>
      <w:r>
        <w:rPr>
          <w:rFonts w:hint="eastAsia" w:ascii="黑体" w:eastAsia="黑体" w:cs="黑体"/>
          <w:sz w:val="56"/>
          <w:szCs w:val="56"/>
        </w:rPr>
        <w:t>年度</w:t>
      </w:r>
      <w:bookmarkEnd w:id="0"/>
      <w:bookmarkEnd w:id="1"/>
      <w:bookmarkEnd w:id="2"/>
      <w:bookmarkEnd w:id="3"/>
      <w:bookmarkEnd w:id="4"/>
    </w:p>
    <w:p>
      <w:pPr>
        <w:jc w:val="center"/>
        <w:rPr>
          <w:rFonts w:hint="default" w:ascii="黑体" w:eastAsia="黑体" w:cs="黑体"/>
          <w:sz w:val="56"/>
          <w:szCs w:val="56"/>
          <w:lang w:val="en-US" w:eastAsia="zh-CN"/>
        </w:rPr>
      </w:pPr>
      <w:bookmarkStart w:id="5" w:name="_Toc15306268"/>
      <w:bookmarkStart w:id="6" w:name="_Toc15396476"/>
      <w:bookmarkStart w:id="7" w:name="_Toc15396598"/>
      <w:bookmarkStart w:id="8" w:name="_Toc15377194"/>
      <w:bookmarkStart w:id="9" w:name="_Toc15378442"/>
      <w:bookmarkStart w:id="10" w:name="_Toc15377426"/>
      <w:r>
        <w:rPr>
          <w:rFonts w:hint="eastAsia" w:ascii="黑体" w:eastAsia="黑体" w:cs="黑体"/>
          <w:sz w:val="56"/>
          <w:szCs w:val="56"/>
        </w:rPr>
        <w:t>四川省阿坝州</w:t>
      </w:r>
      <w:r>
        <w:rPr>
          <w:rFonts w:hint="eastAsia" w:ascii="黑体" w:eastAsia="黑体" w:cs="黑体"/>
          <w:sz w:val="56"/>
          <w:szCs w:val="56"/>
          <w:lang w:val="en-US" w:eastAsia="zh-CN"/>
        </w:rPr>
        <w:t>社会科学界联合会</w:t>
      </w:r>
    </w:p>
    <w:p>
      <w:pPr>
        <w:jc w:val="center"/>
        <w:rPr>
          <w:rFonts w:ascii="黑体" w:eastAsia="黑体" w:cs="黑体"/>
          <w:sz w:val="56"/>
          <w:szCs w:val="56"/>
        </w:rPr>
      </w:pPr>
      <w:r>
        <w:rPr>
          <w:rFonts w:hint="eastAsia" w:ascii="黑体" w:eastAsia="黑体" w:cs="黑体"/>
          <w:sz w:val="56"/>
          <w:szCs w:val="56"/>
          <w:lang w:val="en-US" w:eastAsia="zh-CN"/>
        </w:rPr>
        <w:t>部门</w:t>
      </w:r>
      <w:r>
        <w:rPr>
          <w:rFonts w:hint="eastAsia" w:ascii="黑体" w:eastAsia="黑体" w:cs="黑体"/>
          <w:sz w:val="56"/>
          <w:szCs w:val="56"/>
        </w:rPr>
        <w:t>决算</w:t>
      </w:r>
      <w:bookmarkEnd w:id="5"/>
      <w:bookmarkEnd w:id="6"/>
      <w:bookmarkEnd w:id="7"/>
      <w:bookmarkEnd w:id="8"/>
      <w:bookmarkEnd w:id="9"/>
      <w:bookmarkEnd w:id="10"/>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p>
    <w:p>
      <w:pPr>
        <w:pStyle w:val="17"/>
        <w:ind w:left="420" w:firstLine="640"/>
        <w:rPr>
          <w:rFonts w:ascii="黑体" w:eastAsia="黑体" w:cs="黑体"/>
          <w:sz w:val="32"/>
          <w:szCs w:val="32"/>
        </w:rPr>
      </w:pPr>
    </w:p>
    <w:p/>
    <w:p>
      <w:pPr>
        <w:autoSpaceDE w:val="0"/>
        <w:autoSpaceDN w:val="0"/>
        <w:adjustRightInd w:val="0"/>
        <w:ind w:firstLine="320" w:firstLineChars="100"/>
        <w:jc w:val="center"/>
        <w:rPr>
          <w:rFonts w:ascii="黑体" w:eastAsia="黑体" w:cs="黑体"/>
          <w:sz w:val="32"/>
          <w:szCs w:val="32"/>
        </w:rPr>
      </w:pPr>
    </w:p>
    <w:p>
      <w:pPr>
        <w:autoSpaceDE w:val="0"/>
        <w:autoSpaceDN w:val="0"/>
        <w:adjustRightInd w:val="0"/>
        <w:ind w:firstLine="320" w:firstLineChars="100"/>
        <w:jc w:val="center"/>
        <w:rPr>
          <w:rFonts w:ascii="黑体" w:eastAsia="黑体" w:cs="黑体"/>
          <w:sz w:val="32"/>
          <w:szCs w:val="32"/>
        </w:rPr>
      </w:pPr>
      <w:r>
        <w:rPr>
          <w:rFonts w:hint="eastAsia" w:ascii="黑体" w:eastAsia="黑体" w:cs="黑体"/>
          <w:sz w:val="32"/>
          <w:szCs w:val="32"/>
        </w:rPr>
        <w:t>已经保密审查、内容审定，同意对外公开</w:t>
      </w:r>
    </w:p>
    <w:p>
      <w:pPr>
        <w:rPr>
          <w:rFonts w:ascii="黑体" w:eastAsia="黑体" w:cs="黑体"/>
          <w:sz w:val="32"/>
          <w:szCs w:val="32"/>
        </w:rPr>
      </w:pPr>
      <w:r>
        <w:rPr>
          <w:rFonts w:hint="eastAsia" w:ascii="黑体" w:eastAsia="黑体" w:cs="黑体"/>
          <w:sz w:val="32"/>
          <w:szCs w:val="32"/>
        </w:rPr>
        <w:br w:type="page"/>
      </w:r>
    </w:p>
    <w:p>
      <w:pPr>
        <w:pStyle w:val="3"/>
        <w:jc w:val="both"/>
        <w:rPr>
          <w:rFonts w:ascii="黑体" w:cs="Times New Roman"/>
          <w:b w:val="0"/>
          <w:bCs w:val="0"/>
        </w:rPr>
        <w:sectPr>
          <w:headerReference r:id="rId3" w:type="default"/>
          <w:footerReference r:id="rId4" w:type="default"/>
          <w:pgSz w:w="11906" w:h="16838"/>
          <w:pgMar w:top="1440" w:right="1800" w:bottom="1440" w:left="1800" w:header="0" w:footer="992" w:gutter="0"/>
          <w:pgNumType w:start="1"/>
          <w:cols w:space="720" w:num="1"/>
          <w:docGrid w:type="lines" w:linePitch="312" w:charSpace="0"/>
        </w:sectPr>
      </w:pPr>
      <w:bookmarkStart w:id="11" w:name="_Toc15377196"/>
      <w:bookmarkStart w:id="12" w:name="_Toc15396599"/>
    </w:p>
    <w:p>
      <w:pPr>
        <w:pStyle w:val="30"/>
        <w:jc w:val="center"/>
        <w:rPr>
          <w:rFonts w:ascii="黑体" w:cs="Times New Roman"/>
          <w:color w:val="auto"/>
          <w:sz w:val="40"/>
          <w:szCs w:val="40"/>
          <w:lang w:val="zh-CN"/>
        </w:rPr>
      </w:pPr>
      <w:r>
        <w:rPr>
          <w:rFonts w:hint="eastAsia" w:ascii="黑体" w:cs="黑体"/>
          <w:color w:val="auto"/>
          <w:sz w:val="40"/>
          <w:szCs w:val="40"/>
          <w:lang w:val="zh-CN"/>
        </w:rPr>
        <w:t xml:space="preserve">目 </w:t>
      </w:r>
      <w:r>
        <w:rPr>
          <w:rFonts w:hint="eastAsia" w:ascii="黑体" w:cs="黑体"/>
          <w:color w:val="auto"/>
          <w:sz w:val="40"/>
          <w:szCs w:val="40"/>
        </w:rPr>
        <w:t xml:space="preserve"> </w:t>
      </w:r>
      <w:r>
        <w:rPr>
          <w:rFonts w:hint="eastAsia" w:ascii="黑体" w:cs="黑体"/>
          <w:color w:val="auto"/>
          <w:sz w:val="40"/>
          <w:szCs w:val="40"/>
          <w:lang w:val="zh-CN"/>
        </w:rPr>
        <w:t xml:space="preserve"> 录</w:t>
      </w:r>
    </w:p>
    <w:p>
      <w:pPr>
        <w:jc w:val="center"/>
        <w:rPr>
          <w:rFonts w:ascii="黑体" w:eastAsia="黑体" w:cs="黑体"/>
          <w:sz w:val="32"/>
          <w:szCs w:val="32"/>
          <w:lang w:val="zh-CN"/>
        </w:rPr>
      </w:pPr>
      <w:r>
        <w:rPr>
          <w:rFonts w:hint="eastAsia" w:ascii="黑体" w:eastAsia="黑体" w:cs="黑体"/>
          <w:sz w:val="32"/>
          <w:szCs w:val="32"/>
          <w:lang w:val="zh-CN"/>
        </w:rPr>
        <w:t>公开时间：202</w:t>
      </w:r>
      <w:r>
        <w:rPr>
          <w:rFonts w:hint="eastAsia" w:ascii="黑体" w:eastAsia="黑体" w:cs="黑体"/>
          <w:sz w:val="32"/>
          <w:szCs w:val="32"/>
          <w:lang w:val="en-US" w:eastAsia="zh-CN"/>
        </w:rPr>
        <w:t>5</w:t>
      </w:r>
      <w:r>
        <w:rPr>
          <w:rFonts w:hint="eastAsia" w:ascii="黑体" w:eastAsia="黑体" w:cs="黑体"/>
          <w:sz w:val="32"/>
          <w:szCs w:val="32"/>
          <w:lang w:val="zh-CN"/>
        </w:rPr>
        <w:t>年9月</w:t>
      </w:r>
      <w:r>
        <w:rPr>
          <w:rFonts w:hint="eastAsia" w:ascii="黑体" w:eastAsia="黑体" w:cs="黑体"/>
          <w:sz w:val="32"/>
          <w:szCs w:val="32"/>
          <w:lang w:val="en-US" w:eastAsia="zh-CN"/>
        </w:rPr>
        <w:t>10</w:t>
      </w:r>
      <w:r>
        <w:rPr>
          <w:rFonts w:hint="eastAsia" w:ascii="黑体" w:eastAsia="黑体" w:cs="黑体"/>
          <w:sz w:val="32"/>
          <w:szCs w:val="32"/>
          <w:lang w:val="zh-CN"/>
        </w:rPr>
        <w:t>日</w:t>
      </w:r>
    </w:p>
    <w:p>
      <w:pPr>
        <w:pStyle w:val="13"/>
        <w:tabs>
          <w:tab w:val="right" w:leader="dot" w:pos="8306"/>
          <w:tab w:val="clear" w:pos="8296"/>
        </w:tabs>
        <w:rPr>
          <w:rFonts w:ascii="黑体" w:eastAsia="黑体" w:cs="黑体"/>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 TOC \o "1-3" \h \z \u </w:instrText>
      </w:r>
      <w:r>
        <w:rPr>
          <w:rFonts w:hint="eastAsia" w:ascii="仿宋_GB2312" w:eastAsia="仿宋_GB2312"/>
          <w:sz w:val="32"/>
          <w:szCs w:val="32"/>
        </w:rPr>
        <w:fldChar w:fldCharType="separate"/>
      </w:r>
      <w:r>
        <w:fldChar w:fldCharType="begin"/>
      </w:r>
      <w:r>
        <w:instrText xml:space="preserve"> HYPERLINK \l "_Toc6392" </w:instrText>
      </w:r>
      <w:r>
        <w:fldChar w:fldCharType="separate"/>
      </w:r>
      <w:r>
        <w:rPr>
          <w:rFonts w:hint="eastAsia" w:ascii="黑体" w:eastAsia="黑体" w:cs="黑体"/>
          <w:kern w:val="44"/>
          <w:sz w:val="36"/>
          <w:szCs w:val="36"/>
        </w:rPr>
        <w:t xml:space="preserve">第一部分 </w:t>
      </w:r>
      <w:r>
        <w:rPr>
          <w:rFonts w:hint="eastAsia" w:ascii="黑体" w:eastAsia="黑体" w:cs="黑体"/>
          <w:kern w:val="44"/>
          <w:sz w:val="36"/>
          <w:szCs w:val="36"/>
          <w:lang w:val="en-US" w:eastAsia="zh-CN"/>
        </w:rPr>
        <w:t>部门</w:t>
      </w:r>
      <w:r>
        <w:rPr>
          <w:rFonts w:hint="eastAsia" w:ascii="黑体" w:eastAsia="黑体" w:cs="黑体"/>
          <w:kern w:val="44"/>
          <w:sz w:val="36"/>
          <w:szCs w:val="36"/>
        </w:rPr>
        <w:t>概况</w:t>
      </w:r>
      <w:r>
        <w:rPr>
          <w:rFonts w:hint="eastAsia" w:ascii="黑体" w:eastAsia="黑体" w:cs="黑体"/>
          <w:sz w:val="36"/>
          <w:szCs w:val="36"/>
        </w:rPr>
        <w:tab/>
      </w:r>
      <w:r>
        <w:rPr>
          <w:rFonts w:hint="eastAsia" w:ascii="黑体" w:eastAsia="黑体" w:cs="黑体"/>
          <w:sz w:val="32"/>
          <w:szCs w:val="32"/>
        </w:rPr>
        <w:fldChar w:fldCharType="begin"/>
      </w:r>
      <w:r>
        <w:rPr>
          <w:rFonts w:hint="eastAsia" w:ascii="黑体" w:eastAsia="黑体" w:cs="黑体"/>
          <w:sz w:val="32"/>
          <w:szCs w:val="32"/>
        </w:rPr>
        <w:instrText xml:space="preserve"> PAGEREF _Toc6392 \h </w:instrText>
      </w:r>
      <w:r>
        <w:rPr>
          <w:rFonts w:hint="eastAsia" w:ascii="黑体" w:eastAsia="黑体" w:cs="黑体"/>
          <w:sz w:val="32"/>
          <w:szCs w:val="32"/>
        </w:rPr>
        <w:fldChar w:fldCharType="separate"/>
      </w:r>
      <w:r>
        <w:rPr>
          <w:rFonts w:hint="eastAsia" w:ascii="黑体" w:eastAsia="黑体" w:cs="黑体"/>
          <w:sz w:val="32"/>
          <w:szCs w:val="32"/>
        </w:rPr>
        <w:t>1</w:t>
      </w:r>
      <w:r>
        <w:rPr>
          <w:rFonts w:hint="eastAsia" w:ascii="黑体" w:eastAsia="黑体" w:cs="黑体"/>
          <w:sz w:val="32"/>
          <w:szCs w:val="32"/>
        </w:rPr>
        <w:fldChar w:fldCharType="end"/>
      </w:r>
      <w:r>
        <w:rPr>
          <w:rFonts w:hint="eastAsia" w:ascii="黑体" w:eastAsia="黑体" w:cs="黑体"/>
          <w:sz w:val="32"/>
          <w:szCs w:val="32"/>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"_Toc14193" </w:instrText>
      </w:r>
      <w:r>
        <w:fldChar w:fldCharType="separate"/>
      </w:r>
      <w:r>
        <w:rPr>
          <w:rFonts w:hint="eastAsia" w:ascii="黑体" w:eastAsia="黑体" w:cs="黑体"/>
          <w:bCs/>
          <w:sz w:val="32"/>
          <w:szCs w:val="32"/>
        </w:rPr>
        <w:t>一、</w:t>
      </w:r>
      <w:r>
        <w:rPr>
          <w:rFonts w:hint="eastAsia" w:ascii="黑体" w:eastAsia="黑体" w:cs="黑体"/>
          <w:sz w:val="32"/>
          <w:szCs w:val="32"/>
          <w:lang w:val="en-US" w:eastAsia="zh-CN"/>
        </w:rPr>
        <w:t>部门</w:t>
      </w:r>
      <w:r>
        <w:rPr>
          <w:rFonts w:hint="eastAsia" w:ascii="黑体" w:eastAsia="黑体" w:cs="黑体"/>
          <w:bCs/>
          <w:sz w:val="32"/>
          <w:szCs w:val="32"/>
        </w:rPr>
        <w:t>职责</w:t>
      </w:r>
      <w:r>
        <w:rPr>
          <w:rFonts w:hint="eastAsia" w:ascii="黑体" w:eastAsia="黑体" w:cs="黑体"/>
          <w:sz w:val="32"/>
          <w:szCs w:val="32"/>
        </w:rPr>
        <w:tab/>
      </w:r>
      <w:r>
        <w:rPr>
          <w:rFonts w:hint="eastAsia" w:ascii="黑体" w:eastAsia="黑体" w:cs="黑体"/>
          <w:sz w:val="32"/>
          <w:szCs w:val="32"/>
        </w:rPr>
        <w:fldChar w:fldCharType="begin"/>
      </w:r>
      <w:r>
        <w:rPr>
          <w:rFonts w:hint="eastAsia" w:ascii="黑体" w:eastAsia="黑体" w:cs="黑体"/>
          <w:sz w:val="32"/>
          <w:szCs w:val="32"/>
        </w:rPr>
        <w:instrText xml:space="preserve"> PAGEREF _Toc14193 \h </w:instrText>
      </w:r>
      <w:r>
        <w:rPr>
          <w:rFonts w:hint="eastAsia" w:ascii="黑体" w:eastAsia="黑体" w:cs="黑体"/>
          <w:sz w:val="32"/>
          <w:szCs w:val="32"/>
        </w:rPr>
        <w:fldChar w:fldCharType="separate"/>
      </w:r>
      <w:r>
        <w:rPr>
          <w:rFonts w:hint="eastAsia" w:ascii="黑体" w:eastAsia="黑体" w:cs="黑体"/>
          <w:sz w:val="32"/>
          <w:szCs w:val="32"/>
        </w:rPr>
        <w:t>1</w:t>
      </w:r>
      <w:r>
        <w:rPr>
          <w:rFonts w:hint="eastAsia" w:ascii="黑体" w:eastAsia="黑体" w:cs="黑体"/>
          <w:sz w:val="32"/>
          <w:szCs w:val="32"/>
        </w:rPr>
        <w:fldChar w:fldCharType="end"/>
      </w:r>
      <w:r>
        <w:rPr>
          <w:rFonts w:hint="eastAsia" w:ascii="黑体" w:eastAsia="黑体" w:cs="黑体"/>
          <w:sz w:val="32"/>
          <w:szCs w:val="32"/>
        </w:rPr>
        <w:fldChar w:fldCharType="end"/>
      </w:r>
    </w:p>
    <w:p>
      <w:pPr>
        <w:pStyle w:val="15"/>
        <w:tabs>
          <w:tab w:val="right" w:leader="dot" w:pos="8306"/>
          <w:tab w:val="clear" w:pos="8296"/>
        </w:tabs>
        <w:ind w:left="420"/>
        <w:rPr>
          <w:rFonts w:hint="eastAsia" w:ascii="黑体" w:eastAsia="黑体" w:cs="黑体"/>
          <w:sz w:val="32"/>
          <w:szCs w:val="32"/>
          <w:lang w:val="en-US" w:eastAsia="zh-CN"/>
        </w:rPr>
      </w:pPr>
      <w:r>
        <w:fldChar w:fldCharType="begin"/>
      </w:r>
      <w:r>
        <w:instrText xml:space="preserve"> HYPERLINK \l "_Toc7714" </w:instrText>
      </w:r>
      <w:r>
        <w:fldChar w:fldCharType="separate"/>
      </w:r>
      <w:r>
        <w:rPr>
          <w:rFonts w:hint="eastAsia" w:ascii="黑体" w:eastAsia="黑体" w:cs="黑体"/>
          <w:sz w:val="32"/>
          <w:szCs w:val="32"/>
        </w:rPr>
        <w:t>二、机构设置</w:t>
      </w:r>
      <w:r>
        <w:rPr>
          <w:rFonts w:hint="eastAsia" w:ascii="黑体" w:eastAsia="黑体" w:cs="黑体"/>
          <w:sz w:val="32"/>
          <w:szCs w:val="32"/>
        </w:rPr>
        <w:tab/>
      </w:r>
      <w:r>
        <w:rPr>
          <w:rFonts w:hint="eastAsia" w:ascii="黑体" w:eastAsia="黑体" w:cs="黑体"/>
          <w:sz w:val="32"/>
          <w:szCs w:val="32"/>
        </w:rPr>
        <w:fldChar w:fldCharType="end"/>
      </w:r>
      <w:r>
        <w:rPr>
          <w:rFonts w:hint="eastAsia" w:ascii="黑体" w:eastAsia="黑体" w:cs="黑体"/>
          <w:sz w:val="32"/>
          <w:szCs w:val="32"/>
          <w:lang w:val="en-US" w:eastAsia="zh-CN"/>
        </w:rPr>
        <w:t>2</w:t>
      </w:r>
    </w:p>
    <w:p>
      <w:pPr>
        <w:pStyle w:val="13"/>
        <w:tabs>
          <w:tab w:val="right" w:leader="dot" w:pos="8306"/>
          <w:tab w:val="clear" w:pos="8296"/>
        </w:tabs>
        <w:rPr>
          <w:rFonts w:ascii="黑体" w:eastAsia="黑体" w:cs="黑体"/>
          <w:sz w:val="32"/>
          <w:szCs w:val="32"/>
        </w:rPr>
      </w:pPr>
      <w:r>
        <w:fldChar w:fldCharType="begin"/>
      </w:r>
      <w:r>
        <w:instrText xml:space="preserve"> HYPERLINK \l "_Toc22221" </w:instrText>
      </w:r>
      <w:r>
        <w:fldChar w:fldCharType="separate"/>
      </w:r>
      <w:r>
        <w:rPr>
          <w:rFonts w:hint="eastAsia" w:ascii="黑体" w:eastAsia="黑体" w:cs="黑体"/>
          <w:kern w:val="44"/>
          <w:sz w:val="36"/>
          <w:szCs w:val="36"/>
        </w:rPr>
        <w:t>第二部分 202</w:t>
      </w:r>
      <w:r>
        <w:rPr>
          <w:rFonts w:hint="eastAsia" w:ascii="黑体" w:eastAsia="黑体" w:cs="黑体"/>
          <w:kern w:val="44"/>
          <w:sz w:val="36"/>
          <w:szCs w:val="36"/>
          <w:lang w:val="en-US" w:eastAsia="zh-CN"/>
        </w:rPr>
        <w:t>4</w:t>
      </w:r>
      <w:r>
        <w:rPr>
          <w:rFonts w:hint="eastAsia" w:ascii="黑体" w:eastAsia="黑体" w:cs="黑体"/>
          <w:kern w:val="44"/>
          <w:sz w:val="36"/>
          <w:szCs w:val="36"/>
        </w:rPr>
        <w:t>年度</w:t>
      </w:r>
      <w:r>
        <w:rPr>
          <w:rFonts w:hint="eastAsia" w:ascii="黑体" w:eastAsia="黑体" w:cs="黑体"/>
          <w:kern w:val="44"/>
          <w:sz w:val="36"/>
          <w:szCs w:val="36"/>
          <w:lang w:val="en-US" w:eastAsia="zh-CN"/>
        </w:rPr>
        <w:t>部门</w:t>
      </w:r>
      <w:r>
        <w:rPr>
          <w:rFonts w:hint="eastAsia" w:ascii="黑体" w:eastAsia="黑体" w:cs="黑体"/>
          <w:kern w:val="44"/>
          <w:sz w:val="36"/>
          <w:szCs w:val="36"/>
        </w:rPr>
        <w:t>决算情况说明</w:t>
      </w:r>
      <w:r>
        <w:rPr>
          <w:rFonts w:hint="eastAsia" w:ascii="黑体" w:eastAsia="黑体" w:cs="黑体"/>
          <w:sz w:val="36"/>
          <w:szCs w:val="36"/>
        </w:rPr>
        <w:tab/>
      </w:r>
      <w:r>
        <w:rPr>
          <w:rFonts w:hint="eastAsia" w:ascii="黑体" w:eastAsia="黑体" w:cs="黑体"/>
          <w:sz w:val="32"/>
          <w:szCs w:val="32"/>
          <w:lang w:val="en-US" w:eastAsia="zh-CN"/>
        </w:rPr>
        <w:t>3</w:t>
      </w:r>
      <w:r>
        <w:rPr>
          <w:rFonts w:hint="eastAsia" w:ascii="黑体" w:eastAsia="黑体" w:cs="黑体"/>
          <w:sz w:val="32"/>
          <w:szCs w:val="32"/>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"_Toc17453" </w:instrText>
      </w:r>
      <w:r>
        <w:fldChar w:fldCharType="separate"/>
      </w:r>
      <w:r>
        <w:rPr>
          <w:rFonts w:hint="eastAsia" w:ascii="黑体" w:eastAsia="黑体" w:cs="黑体"/>
          <w:sz w:val="32"/>
          <w:szCs w:val="32"/>
        </w:rPr>
        <w:t xml:space="preserve">一、 </w:t>
      </w:r>
      <w:r>
        <w:rPr>
          <w:rFonts w:hint="eastAsia" w:ascii="黑体" w:eastAsia="黑体" w:cs="黑体"/>
          <w:bCs/>
          <w:sz w:val="32"/>
          <w:szCs w:val="32"/>
        </w:rPr>
        <w:t>收</w:t>
      </w:r>
      <w:r>
        <w:rPr>
          <w:rFonts w:hint="eastAsia" w:ascii="黑体" w:eastAsia="黑体" w:cs="黑体"/>
          <w:sz w:val="32"/>
          <w:szCs w:val="32"/>
        </w:rPr>
        <w:t>入支出决算总体情况说明</w:t>
      </w:r>
      <w:r>
        <w:rPr>
          <w:rFonts w:hint="eastAsia" w:ascii="黑体" w:eastAsia="黑体" w:cs="黑体"/>
          <w:sz w:val="32"/>
          <w:szCs w:val="32"/>
        </w:rPr>
        <w:tab/>
      </w:r>
      <w:r>
        <w:rPr>
          <w:rFonts w:hint="eastAsia" w:ascii="黑体" w:eastAsia="黑体" w:cs="黑体"/>
          <w:sz w:val="32"/>
          <w:szCs w:val="32"/>
        </w:rPr>
        <w:fldChar w:fldCharType="begin"/>
      </w:r>
      <w:r>
        <w:rPr>
          <w:rFonts w:hint="eastAsia" w:ascii="黑体" w:eastAsia="黑体" w:cs="黑体"/>
          <w:sz w:val="32"/>
          <w:szCs w:val="32"/>
        </w:rPr>
        <w:instrText xml:space="preserve"> PAGEREF _Toc17453 \h </w:instrText>
      </w:r>
      <w:r>
        <w:rPr>
          <w:rFonts w:hint="eastAsia" w:ascii="黑体" w:eastAsia="黑体" w:cs="黑体"/>
          <w:sz w:val="32"/>
          <w:szCs w:val="32"/>
        </w:rPr>
        <w:fldChar w:fldCharType="separate"/>
      </w:r>
      <w:r>
        <w:rPr>
          <w:rFonts w:hint="eastAsia" w:ascii="黑体" w:eastAsia="黑体" w:cs="黑体"/>
          <w:sz w:val="32"/>
          <w:szCs w:val="32"/>
        </w:rPr>
        <w:t>3</w:t>
      </w:r>
      <w:r>
        <w:rPr>
          <w:rFonts w:hint="eastAsia" w:ascii="黑体" w:eastAsia="黑体" w:cs="黑体"/>
          <w:sz w:val="32"/>
          <w:szCs w:val="32"/>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"_Toc11160" </w:instrText>
      </w:r>
      <w:r>
        <w:fldChar w:fldCharType="separate"/>
      </w:r>
      <w:r>
        <w:rPr>
          <w:rFonts w:hint="eastAsia" w:ascii="黑体" w:eastAsia="黑体" w:cs="黑体"/>
          <w:sz w:val="32"/>
          <w:szCs w:val="32"/>
        </w:rPr>
        <w:t xml:space="preserve">二、 </w:t>
      </w:r>
      <w:r>
        <w:rPr>
          <w:rFonts w:hint="eastAsia" w:ascii="黑体" w:eastAsia="黑体" w:cs="黑体"/>
          <w:bCs/>
          <w:sz w:val="32"/>
          <w:szCs w:val="32"/>
        </w:rPr>
        <w:t>收</w:t>
      </w:r>
      <w:r>
        <w:rPr>
          <w:rFonts w:hint="eastAsia" w:ascii="黑体" w:eastAsia="黑体" w:cs="黑体"/>
          <w:sz w:val="32"/>
          <w:szCs w:val="32"/>
        </w:rPr>
        <w:t>入决算情况说明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_Toc11160 \h </w:instrText>
      </w:r>
      <w:r>
        <w:rPr>
          <w:rFonts w:hint="eastAsia" w:ascii="黑体" w:eastAsia="黑体" w:cs="黑体"/>
          <w:sz w:val="28"/>
          <w:szCs w:val="28"/>
        </w:rPr>
        <w:fldChar w:fldCharType="separate"/>
      </w:r>
      <w:r>
        <w:rPr>
          <w:rFonts w:hint="eastAsia" w:ascii="黑体" w:eastAsia="黑体" w:cs="黑体"/>
          <w:sz w:val="28"/>
          <w:szCs w:val="28"/>
        </w:rPr>
        <w:t>4</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"_Toc17830" </w:instrText>
      </w:r>
      <w:r>
        <w:fldChar w:fldCharType="separate"/>
      </w:r>
      <w:r>
        <w:rPr>
          <w:rFonts w:hint="eastAsia" w:ascii="黑体" w:eastAsia="黑体" w:cs="黑体"/>
          <w:sz w:val="32"/>
          <w:szCs w:val="32"/>
        </w:rPr>
        <w:t xml:space="preserve">三、 </w:t>
      </w:r>
      <w:r>
        <w:rPr>
          <w:rFonts w:hint="eastAsia" w:ascii="黑体" w:eastAsia="黑体" w:cs="黑体"/>
          <w:bCs/>
          <w:sz w:val="32"/>
          <w:szCs w:val="32"/>
        </w:rPr>
        <w:t>支</w:t>
      </w:r>
      <w:r>
        <w:rPr>
          <w:rFonts w:hint="eastAsia" w:ascii="黑体" w:eastAsia="黑体" w:cs="黑体"/>
          <w:sz w:val="32"/>
          <w:szCs w:val="32"/>
        </w:rPr>
        <w:t>出决算情况说明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_Toc17830 \h </w:instrText>
      </w:r>
      <w:r>
        <w:rPr>
          <w:rFonts w:hint="eastAsia" w:ascii="黑体" w:eastAsia="黑体" w:cs="黑体"/>
          <w:sz w:val="28"/>
          <w:szCs w:val="28"/>
        </w:rPr>
        <w:fldChar w:fldCharType="separate"/>
      </w:r>
      <w:r>
        <w:rPr>
          <w:rFonts w:hint="eastAsia" w:ascii="黑体" w:eastAsia="黑体" w:cs="黑体"/>
          <w:sz w:val="28"/>
          <w:szCs w:val="28"/>
        </w:rPr>
        <w:t>5</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"_Toc10685" </w:instrText>
      </w:r>
      <w:r>
        <w:fldChar w:fldCharType="separate"/>
      </w:r>
      <w:r>
        <w:rPr>
          <w:rFonts w:hint="eastAsia" w:ascii="黑体" w:eastAsia="黑体" w:cs="黑体"/>
          <w:sz w:val="32"/>
          <w:szCs w:val="32"/>
        </w:rPr>
        <w:t xml:space="preserve">四、 </w:t>
      </w:r>
      <w:r>
        <w:rPr>
          <w:rFonts w:hint="eastAsia" w:ascii="黑体" w:eastAsia="黑体" w:cs="黑体"/>
          <w:bCs/>
          <w:sz w:val="32"/>
          <w:szCs w:val="32"/>
        </w:rPr>
        <w:t>财</w:t>
      </w:r>
      <w:r>
        <w:rPr>
          <w:rFonts w:hint="eastAsia" w:ascii="黑体" w:eastAsia="黑体" w:cs="黑体"/>
          <w:sz w:val="32"/>
          <w:szCs w:val="32"/>
        </w:rPr>
        <w:t>政拨款收入支出决算总体情况说明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_Toc10685 \h </w:instrText>
      </w:r>
      <w:r>
        <w:rPr>
          <w:rFonts w:hint="eastAsia" w:ascii="黑体" w:eastAsia="黑体" w:cs="黑体"/>
          <w:sz w:val="28"/>
          <w:szCs w:val="28"/>
        </w:rPr>
        <w:fldChar w:fldCharType="separate"/>
      </w:r>
      <w:r>
        <w:rPr>
          <w:rFonts w:hint="eastAsia" w:ascii="黑体" w:eastAsia="黑体" w:cs="黑体"/>
          <w:sz w:val="28"/>
          <w:szCs w:val="28"/>
        </w:rPr>
        <w:t>5</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"_Toc15648" </w:instrText>
      </w:r>
      <w:r>
        <w:fldChar w:fldCharType="separate"/>
      </w:r>
      <w:r>
        <w:rPr>
          <w:rFonts w:hint="eastAsia" w:ascii="黑体" w:eastAsia="黑体" w:cs="黑体"/>
          <w:sz w:val="32"/>
          <w:szCs w:val="32"/>
        </w:rPr>
        <w:t xml:space="preserve">五、 </w:t>
      </w:r>
      <w:r>
        <w:rPr>
          <w:rFonts w:hint="eastAsia" w:ascii="黑体" w:eastAsia="黑体" w:cs="黑体"/>
          <w:bCs/>
          <w:sz w:val="32"/>
          <w:szCs w:val="32"/>
        </w:rPr>
        <w:t>一</w:t>
      </w:r>
      <w:r>
        <w:rPr>
          <w:rFonts w:hint="eastAsia" w:ascii="黑体" w:eastAsia="黑体" w:cs="黑体"/>
          <w:sz w:val="32"/>
          <w:szCs w:val="32"/>
        </w:rPr>
        <w:t>般公共预算财政拨款支出决算情况说明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_Toc15648 \h </w:instrText>
      </w:r>
      <w:r>
        <w:rPr>
          <w:rFonts w:hint="eastAsia" w:ascii="黑体" w:eastAsia="黑体" w:cs="黑体"/>
          <w:sz w:val="28"/>
          <w:szCs w:val="28"/>
        </w:rPr>
        <w:fldChar w:fldCharType="separate"/>
      </w:r>
      <w:r>
        <w:rPr>
          <w:rFonts w:hint="eastAsia" w:ascii="黑体" w:eastAsia="黑体" w:cs="黑体"/>
          <w:sz w:val="28"/>
          <w:szCs w:val="28"/>
        </w:rPr>
        <w:t>6</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9"/>
        <w:tabs>
          <w:tab w:val="right" w:leader="dot" w:pos="8306"/>
        </w:tabs>
        <w:rPr>
          <w:rFonts w:ascii="黑体" w:eastAsia="黑体" w:cs="黑体"/>
          <w:sz w:val="28"/>
          <w:szCs w:val="28"/>
        </w:rPr>
      </w:pPr>
      <w:r>
        <w:fldChar w:fldCharType="begin"/>
      </w:r>
      <w:r>
        <w:instrText xml:space="preserve"> HYPERLINK \l "_Toc178" </w:instrText>
      </w:r>
      <w:r>
        <w:fldChar w:fldCharType="separate"/>
      </w:r>
      <w:r>
        <w:rPr>
          <w:rFonts w:hint="eastAsia" w:ascii="黑体" w:eastAsia="黑体" w:cs="黑体"/>
          <w:bCs/>
          <w:sz w:val="28"/>
          <w:szCs w:val="28"/>
        </w:rPr>
        <w:t>（一）一般公共预算财政拨款支出决算总体情况</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_Toc178 \h </w:instrText>
      </w:r>
      <w:r>
        <w:rPr>
          <w:rFonts w:hint="eastAsia" w:ascii="黑体" w:eastAsia="黑体" w:cs="黑体"/>
          <w:sz w:val="28"/>
          <w:szCs w:val="28"/>
        </w:rPr>
        <w:fldChar w:fldCharType="separate"/>
      </w:r>
      <w:r>
        <w:rPr>
          <w:rFonts w:hint="eastAsia" w:ascii="黑体" w:eastAsia="黑体" w:cs="黑体"/>
          <w:sz w:val="28"/>
          <w:szCs w:val="28"/>
        </w:rPr>
        <w:t>6</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9"/>
        <w:tabs>
          <w:tab w:val="right" w:leader="dot" w:pos="8306"/>
        </w:tabs>
        <w:rPr>
          <w:rFonts w:ascii="黑体" w:eastAsia="黑体" w:cs="黑体"/>
          <w:sz w:val="28"/>
          <w:szCs w:val="28"/>
        </w:rPr>
      </w:pPr>
      <w:r>
        <w:fldChar w:fldCharType="begin"/>
      </w:r>
      <w:r>
        <w:instrText xml:space="preserve"> HYPERLINK \l "_Toc18109" </w:instrText>
      </w:r>
      <w:r>
        <w:fldChar w:fldCharType="separate"/>
      </w:r>
      <w:r>
        <w:rPr>
          <w:rFonts w:hint="eastAsia" w:ascii="黑体" w:eastAsia="黑体" w:cs="黑体"/>
          <w:bCs/>
          <w:sz w:val="28"/>
          <w:szCs w:val="28"/>
        </w:rPr>
        <w:t>（二） 一般公共预算财政拨款支出决算结构情况</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_Toc18109 \h </w:instrText>
      </w:r>
      <w:r>
        <w:rPr>
          <w:rFonts w:hint="eastAsia" w:ascii="黑体" w:eastAsia="黑体" w:cs="黑体"/>
          <w:sz w:val="28"/>
          <w:szCs w:val="28"/>
        </w:rPr>
        <w:fldChar w:fldCharType="separate"/>
      </w:r>
      <w:r>
        <w:rPr>
          <w:rFonts w:hint="eastAsia" w:ascii="黑体" w:eastAsia="黑体" w:cs="黑体"/>
          <w:sz w:val="28"/>
          <w:szCs w:val="28"/>
        </w:rPr>
        <w:t>7</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9"/>
        <w:tabs>
          <w:tab w:val="right" w:leader="dot" w:pos="8306"/>
        </w:tabs>
        <w:rPr>
          <w:rFonts w:ascii="黑体" w:eastAsia="黑体" w:cs="黑体"/>
          <w:sz w:val="32"/>
          <w:szCs w:val="32"/>
        </w:rPr>
      </w:pPr>
      <w:r>
        <w:fldChar w:fldCharType="begin"/>
      </w:r>
      <w:r>
        <w:instrText xml:space="preserve"> HYPERLINK \l "_Toc25734" </w:instrText>
      </w:r>
      <w:r>
        <w:fldChar w:fldCharType="separate"/>
      </w:r>
      <w:r>
        <w:rPr>
          <w:rFonts w:hint="eastAsia" w:ascii="黑体" w:eastAsia="黑体" w:cs="黑体"/>
          <w:bCs/>
          <w:sz w:val="28"/>
          <w:szCs w:val="28"/>
        </w:rPr>
        <w:t>（三） 一般公共预算财政拨款支出决算具体情况</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_Toc25734 \h </w:instrText>
      </w:r>
      <w:r>
        <w:rPr>
          <w:rFonts w:hint="eastAsia" w:ascii="黑体" w:eastAsia="黑体" w:cs="黑体"/>
          <w:sz w:val="28"/>
          <w:szCs w:val="28"/>
        </w:rPr>
        <w:fldChar w:fldCharType="separate"/>
      </w:r>
      <w:r>
        <w:rPr>
          <w:rFonts w:hint="eastAsia" w:ascii="黑体" w:eastAsia="黑体" w:cs="黑体"/>
          <w:sz w:val="28"/>
          <w:szCs w:val="28"/>
        </w:rPr>
        <w:t>8</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"_Toc5348" </w:instrText>
      </w:r>
      <w:r>
        <w:fldChar w:fldCharType="separate"/>
      </w:r>
      <w:r>
        <w:rPr>
          <w:rFonts w:hint="eastAsia" w:ascii="黑体" w:eastAsia="黑体" w:cs="黑体"/>
          <w:sz w:val="32"/>
          <w:szCs w:val="32"/>
        </w:rPr>
        <w:t>六、一般公共预算财政拨款基本支出决算情况说明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_Toc5348 \h </w:instrText>
      </w:r>
      <w:r>
        <w:rPr>
          <w:rFonts w:hint="eastAsia" w:ascii="黑体" w:eastAsia="黑体" w:cs="黑体"/>
          <w:sz w:val="28"/>
          <w:szCs w:val="28"/>
        </w:rPr>
        <w:fldChar w:fldCharType="separate"/>
      </w:r>
      <w:r>
        <w:rPr>
          <w:rFonts w:hint="eastAsia" w:ascii="黑体" w:eastAsia="黑体" w:cs="黑体"/>
          <w:sz w:val="28"/>
          <w:szCs w:val="28"/>
        </w:rPr>
        <w:t>9</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"_Toc6733" </w:instrText>
      </w:r>
      <w:r>
        <w:fldChar w:fldCharType="separate"/>
      </w:r>
      <w:r>
        <w:rPr>
          <w:rFonts w:hint="eastAsia" w:ascii="黑体" w:eastAsia="黑体" w:cs="黑体"/>
          <w:sz w:val="32"/>
          <w:szCs w:val="32"/>
        </w:rPr>
        <w:t>七、财政拨款“三公”经费支出决算情况说明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_Toc6733 \h </w:instrText>
      </w:r>
      <w:r>
        <w:rPr>
          <w:rFonts w:hint="eastAsia" w:ascii="黑体" w:eastAsia="黑体" w:cs="黑体"/>
          <w:sz w:val="28"/>
          <w:szCs w:val="28"/>
        </w:rPr>
        <w:fldChar w:fldCharType="separate"/>
      </w:r>
      <w:r>
        <w:rPr>
          <w:rFonts w:hint="eastAsia" w:ascii="黑体" w:eastAsia="黑体" w:cs="黑体"/>
          <w:sz w:val="28"/>
          <w:szCs w:val="28"/>
        </w:rPr>
        <w:t>10</w:t>
      </w:r>
      <w:r>
        <w:rPr>
          <w:rFonts w:hint="eastAsia" w:ascii="黑体" w:eastAsia="黑体" w:cs="黑体"/>
          <w:sz w:val="28"/>
          <w:szCs w:val="28"/>
        </w:rPr>
        <w:fldChar w:fldCharType="end"/>
      </w:r>
      <w:r>
        <w:rPr>
          <w:rFonts w:hint="eastAsia" w:ascii="黑体" w:eastAsia="黑体" w:cs="黑体"/>
          <w:sz w:val="32"/>
          <w:szCs w:val="32"/>
        </w:rPr>
        <w:fldChar w:fldCharType="end"/>
      </w:r>
    </w:p>
    <w:p>
      <w:pPr>
        <w:pStyle w:val="9"/>
        <w:tabs>
          <w:tab w:val="right" w:leader="dot" w:pos="8306"/>
        </w:tabs>
        <w:rPr>
          <w:rFonts w:ascii="黑体" w:eastAsia="黑体" w:cs="黑体"/>
          <w:sz w:val="28"/>
          <w:szCs w:val="28"/>
        </w:rPr>
      </w:pPr>
      <w:r>
        <w:fldChar w:fldCharType="begin"/>
      </w:r>
      <w:r>
        <w:instrText xml:space="preserve"> HYPERLINK \l "_Toc27509" </w:instrText>
      </w:r>
      <w:r>
        <w:fldChar w:fldCharType="separate"/>
      </w:r>
      <w:r>
        <w:rPr>
          <w:rFonts w:hint="eastAsia" w:ascii="黑体" w:eastAsia="黑体" w:cs="黑体"/>
          <w:bCs/>
          <w:sz w:val="28"/>
          <w:szCs w:val="28"/>
        </w:rPr>
        <w:t>（一）“三公”经费财政拨款支出决算总体情况说明.</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_Toc27509 \h </w:instrText>
      </w:r>
      <w:r>
        <w:rPr>
          <w:rFonts w:hint="eastAsia" w:ascii="黑体" w:eastAsia="黑体" w:cs="黑体"/>
          <w:sz w:val="28"/>
          <w:szCs w:val="28"/>
        </w:rPr>
        <w:fldChar w:fldCharType="separate"/>
      </w:r>
      <w:r>
        <w:rPr>
          <w:rFonts w:hint="eastAsia" w:ascii="黑体" w:eastAsia="黑体" w:cs="黑体"/>
          <w:sz w:val="28"/>
          <w:szCs w:val="28"/>
        </w:rPr>
        <w:t>10</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9"/>
        <w:tabs>
          <w:tab w:val="right" w:leader="dot" w:pos="8306"/>
        </w:tabs>
        <w:rPr>
          <w:rFonts w:ascii="黑体" w:eastAsia="黑体" w:cs="黑体"/>
          <w:sz w:val="32"/>
          <w:szCs w:val="32"/>
        </w:rPr>
      </w:pPr>
      <w:r>
        <w:fldChar w:fldCharType="begin"/>
      </w:r>
      <w:r>
        <w:instrText xml:space="preserve"> HYPERLINK \l "_Toc9478" </w:instrText>
      </w:r>
      <w:r>
        <w:fldChar w:fldCharType="separate"/>
      </w:r>
      <w:r>
        <w:rPr>
          <w:rFonts w:hint="eastAsia" w:ascii="黑体" w:eastAsia="黑体" w:cs="黑体"/>
          <w:bCs/>
          <w:sz w:val="28"/>
          <w:szCs w:val="28"/>
        </w:rPr>
        <w:t>（二） “三公”经费财政拨款支出决算具体情况说明</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_Toc9478 \h </w:instrText>
      </w:r>
      <w:r>
        <w:rPr>
          <w:rFonts w:hint="eastAsia" w:ascii="黑体" w:eastAsia="黑体" w:cs="黑体"/>
          <w:sz w:val="28"/>
          <w:szCs w:val="28"/>
        </w:rPr>
        <w:fldChar w:fldCharType="separate"/>
      </w:r>
      <w:r>
        <w:rPr>
          <w:rFonts w:hint="eastAsia" w:ascii="黑体" w:eastAsia="黑体" w:cs="黑体"/>
          <w:sz w:val="28"/>
          <w:szCs w:val="28"/>
        </w:rPr>
        <w:t>11</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"_Toc15784" </w:instrText>
      </w:r>
      <w:r>
        <w:fldChar w:fldCharType="separate"/>
      </w:r>
      <w:r>
        <w:rPr>
          <w:rFonts w:hint="eastAsia" w:ascii="黑体" w:eastAsia="黑体" w:cs="黑体"/>
          <w:sz w:val="32"/>
          <w:szCs w:val="32"/>
        </w:rPr>
        <w:t>八、政府性基金预算支出决算情况说明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_Toc15784 \h </w:instrText>
      </w:r>
      <w:r>
        <w:rPr>
          <w:rFonts w:hint="eastAsia" w:ascii="黑体" w:eastAsia="黑体" w:cs="黑体"/>
          <w:sz w:val="28"/>
          <w:szCs w:val="28"/>
        </w:rPr>
        <w:fldChar w:fldCharType="separate"/>
      </w:r>
      <w:r>
        <w:rPr>
          <w:rFonts w:hint="eastAsia" w:ascii="黑体" w:eastAsia="黑体" w:cs="黑体"/>
          <w:sz w:val="28"/>
          <w:szCs w:val="28"/>
        </w:rPr>
        <w:t>13</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"_Toc32366" </w:instrText>
      </w:r>
      <w:r>
        <w:fldChar w:fldCharType="separate"/>
      </w:r>
      <w:r>
        <w:rPr>
          <w:rFonts w:hint="eastAsia" w:ascii="黑体" w:eastAsia="黑体" w:cs="黑体"/>
          <w:sz w:val="32"/>
          <w:szCs w:val="32"/>
        </w:rPr>
        <w:t>九、国有资本经营预算支出决算情况说明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_Toc32366 \h </w:instrText>
      </w:r>
      <w:r>
        <w:rPr>
          <w:rFonts w:hint="eastAsia" w:ascii="黑体" w:eastAsia="黑体" w:cs="黑体"/>
          <w:sz w:val="28"/>
          <w:szCs w:val="28"/>
        </w:rPr>
        <w:fldChar w:fldCharType="separate"/>
      </w:r>
      <w:r>
        <w:rPr>
          <w:rFonts w:hint="eastAsia" w:ascii="黑体" w:eastAsia="黑体" w:cs="黑体"/>
          <w:sz w:val="28"/>
          <w:szCs w:val="28"/>
        </w:rPr>
        <w:t>13</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"_Toc19467" </w:instrText>
      </w:r>
      <w:r>
        <w:fldChar w:fldCharType="separate"/>
      </w:r>
      <w:r>
        <w:rPr>
          <w:rFonts w:hint="eastAsia" w:ascii="黑体" w:eastAsia="黑体" w:cs="黑体"/>
          <w:sz w:val="32"/>
          <w:szCs w:val="32"/>
        </w:rPr>
        <w:t>十、其他重要事项的情况说明</w:t>
      </w:r>
      <w:r>
        <w:rPr>
          <w:rFonts w:hint="eastAsia" w:ascii="黑体" w:eastAsia="黑体" w:cs="黑体"/>
          <w:sz w:val="32"/>
          <w:szCs w:val="32"/>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_Toc19467 \h </w:instrText>
      </w:r>
      <w:r>
        <w:rPr>
          <w:rFonts w:hint="eastAsia" w:ascii="黑体" w:eastAsia="黑体" w:cs="黑体"/>
          <w:sz w:val="28"/>
          <w:szCs w:val="28"/>
        </w:rPr>
        <w:fldChar w:fldCharType="separate"/>
      </w:r>
      <w:r>
        <w:rPr>
          <w:rFonts w:hint="eastAsia" w:ascii="黑体" w:eastAsia="黑体" w:cs="黑体"/>
          <w:sz w:val="28"/>
          <w:szCs w:val="28"/>
        </w:rPr>
        <w:t>13</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9"/>
        <w:tabs>
          <w:tab w:val="right" w:leader="dot" w:pos="8306"/>
        </w:tabs>
        <w:rPr>
          <w:rFonts w:ascii="黑体" w:eastAsia="黑体" w:cs="黑体"/>
          <w:sz w:val="28"/>
          <w:szCs w:val="28"/>
          <w:lang w:val="zh-CN"/>
        </w:rPr>
        <w:sectPr>
          <w:headerReference r:id="rId5" w:type="default"/>
          <w:footerReference r:id="rId6" w:type="default"/>
          <w:pgSz w:w="11906" w:h="16838"/>
          <w:pgMar w:top="1440" w:right="1800" w:bottom="1440" w:left="1800" w:header="0" w:footer="992" w:gutter="0"/>
          <w:pgNumType w:start="1"/>
          <w:cols w:space="720" w:num="1"/>
          <w:docGrid w:type="lines" w:linePitch="312" w:charSpace="0"/>
        </w:sectPr>
      </w:pPr>
    </w:p>
    <w:p>
      <w:pPr>
        <w:pStyle w:val="9"/>
        <w:tabs>
          <w:tab w:val="right" w:leader="dot" w:pos="8306"/>
        </w:tabs>
        <w:rPr>
          <w:rFonts w:ascii="黑体" w:eastAsia="黑体" w:cs="黑体"/>
          <w:sz w:val="28"/>
          <w:szCs w:val="28"/>
        </w:rPr>
      </w:pPr>
      <w:r>
        <w:fldChar w:fldCharType="begin"/>
      </w:r>
      <w:r>
        <w:instrText xml:space="preserve"> HYPERLINK \l "_Toc25496" </w:instrText>
      </w:r>
      <w:r>
        <w:fldChar w:fldCharType="separate"/>
      </w:r>
      <w:r>
        <w:rPr>
          <w:rFonts w:hint="eastAsia" w:ascii="黑体" w:eastAsia="黑体" w:cs="黑体"/>
          <w:bCs/>
          <w:sz w:val="28"/>
          <w:szCs w:val="28"/>
        </w:rPr>
        <w:t>（一） 机关运行经费支出情况</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_Toc25496 \h </w:instrText>
      </w:r>
      <w:r>
        <w:rPr>
          <w:rFonts w:hint="eastAsia" w:ascii="黑体" w:eastAsia="黑体" w:cs="黑体"/>
          <w:sz w:val="28"/>
          <w:szCs w:val="28"/>
        </w:rPr>
        <w:fldChar w:fldCharType="separate"/>
      </w:r>
      <w:r>
        <w:rPr>
          <w:rFonts w:hint="eastAsia" w:ascii="黑体" w:eastAsia="黑体" w:cs="黑体"/>
          <w:sz w:val="28"/>
          <w:szCs w:val="28"/>
        </w:rPr>
        <w:t>13</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9"/>
        <w:tabs>
          <w:tab w:val="right" w:leader="dot" w:pos="8306"/>
        </w:tabs>
        <w:rPr>
          <w:rFonts w:ascii="黑体" w:eastAsia="黑体" w:cs="黑体"/>
          <w:sz w:val="28"/>
          <w:szCs w:val="28"/>
        </w:rPr>
      </w:pPr>
      <w:r>
        <w:fldChar w:fldCharType="begin"/>
      </w:r>
      <w:r>
        <w:instrText xml:space="preserve"> HYPERLINK \l "_Toc19249" </w:instrText>
      </w:r>
      <w:r>
        <w:fldChar w:fldCharType="separate"/>
      </w:r>
      <w:r>
        <w:rPr>
          <w:rFonts w:hint="eastAsia" w:ascii="黑体" w:eastAsia="黑体" w:cs="黑体"/>
          <w:bCs/>
          <w:sz w:val="28"/>
          <w:szCs w:val="28"/>
        </w:rPr>
        <w:t>（二） 政府采购支出情况</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_Toc19249 \h </w:instrText>
      </w:r>
      <w:r>
        <w:rPr>
          <w:rFonts w:hint="eastAsia" w:ascii="黑体" w:eastAsia="黑体" w:cs="黑体"/>
          <w:sz w:val="28"/>
          <w:szCs w:val="28"/>
        </w:rPr>
        <w:fldChar w:fldCharType="separate"/>
      </w:r>
      <w:r>
        <w:rPr>
          <w:rFonts w:hint="eastAsia" w:ascii="黑体" w:eastAsia="黑体" w:cs="黑体"/>
          <w:sz w:val="28"/>
          <w:szCs w:val="28"/>
        </w:rPr>
        <w:t>13</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9"/>
        <w:tabs>
          <w:tab w:val="right" w:leader="dot" w:pos="8306"/>
        </w:tabs>
        <w:rPr>
          <w:rFonts w:ascii="黑体" w:eastAsia="黑体" w:cs="黑体"/>
          <w:sz w:val="28"/>
          <w:szCs w:val="28"/>
        </w:rPr>
      </w:pPr>
      <w:r>
        <w:fldChar w:fldCharType="begin"/>
      </w:r>
      <w:r>
        <w:instrText xml:space="preserve"> HYPERLINK \l "_Toc15189" </w:instrText>
      </w:r>
      <w:r>
        <w:fldChar w:fldCharType="separate"/>
      </w:r>
      <w:r>
        <w:rPr>
          <w:rFonts w:hint="eastAsia" w:ascii="黑体" w:eastAsia="黑体" w:cs="黑体"/>
          <w:bCs/>
          <w:sz w:val="28"/>
          <w:szCs w:val="28"/>
        </w:rPr>
        <w:t>（三） 国有资产占有使用情况</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_Toc15189 \h </w:instrText>
      </w:r>
      <w:r>
        <w:rPr>
          <w:rFonts w:hint="eastAsia" w:ascii="黑体" w:eastAsia="黑体" w:cs="黑体"/>
          <w:sz w:val="28"/>
          <w:szCs w:val="28"/>
        </w:rPr>
        <w:fldChar w:fldCharType="separate"/>
      </w:r>
      <w:r>
        <w:rPr>
          <w:rFonts w:hint="eastAsia" w:ascii="黑体" w:eastAsia="黑体" w:cs="黑体"/>
          <w:sz w:val="28"/>
          <w:szCs w:val="28"/>
        </w:rPr>
        <w:t>14</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9"/>
        <w:tabs>
          <w:tab w:val="right" w:leader="dot" w:pos="8306"/>
        </w:tabs>
        <w:rPr>
          <w:rFonts w:ascii="黑体" w:eastAsia="黑体" w:cs="黑体"/>
          <w:sz w:val="32"/>
          <w:szCs w:val="32"/>
        </w:rPr>
      </w:pPr>
      <w:r>
        <w:fldChar w:fldCharType="begin"/>
      </w:r>
      <w:r>
        <w:instrText xml:space="preserve"> HYPERLINK \l "_Toc8462" </w:instrText>
      </w:r>
      <w:r>
        <w:fldChar w:fldCharType="separate"/>
      </w:r>
      <w:r>
        <w:rPr>
          <w:rFonts w:hint="eastAsia" w:ascii="黑体" w:eastAsia="黑体" w:cs="黑体"/>
          <w:bCs/>
          <w:sz w:val="28"/>
          <w:szCs w:val="28"/>
        </w:rPr>
        <w:t>（四） 预算绩效管理情况</w:t>
      </w:r>
      <w:r>
        <w:rPr>
          <w:rFonts w:hint="eastAsia" w:ascii="黑体" w:eastAsia="黑体" w:cs="黑体"/>
          <w:sz w:val="28"/>
          <w:szCs w:val="28"/>
        </w:rPr>
        <w:tab/>
      </w:r>
      <w:r>
        <w:rPr>
          <w:rFonts w:hint="eastAsia" w:ascii="黑体" w:eastAsia="黑体" w:cs="黑体"/>
          <w:sz w:val="28"/>
          <w:szCs w:val="28"/>
        </w:rPr>
        <w:fldChar w:fldCharType="begin"/>
      </w:r>
      <w:r>
        <w:rPr>
          <w:rFonts w:hint="eastAsia" w:ascii="黑体" w:eastAsia="黑体" w:cs="黑体"/>
          <w:sz w:val="28"/>
          <w:szCs w:val="28"/>
        </w:rPr>
        <w:instrText xml:space="preserve"> PAGEREF _Toc8462 \h </w:instrText>
      </w:r>
      <w:r>
        <w:rPr>
          <w:rFonts w:hint="eastAsia" w:ascii="黑体" w:eastAsia="黑体" w:cs="黑体"/>
          <w:sz w:val="28"/>
          <w:szCs w:val="28"/>
        </w:rPr>
        <w:fldChar w:fldCharType="separate"/>
      </w:r>
      <w:r>
        <w:rPr>
          <w:rFonts w:hint="eastAsia" w:ascii="黑体" w:eastAsia="黑体" w:cs="黑体"/>
          <w:sz w:val="28"/>
          <w:szCs w:val="28"/>
        </w:rPr>
        <w:t>14</w:t>
      </w:r>
      <w:r>
        <w:rPr>
          <w:rFonts w:hint="eastAsia" w:ascii="黑体" w:eastAsia="黑体" w:cs="黑体"/>
          <w:sz w:val="28"/>
          <w:szCs w:val="28"/>
        </w:rPr>
        <w:fldChar w:fldCharType="end"/>
      </w:r>
      <w:r>
        <w:rPr>
          <w:rFonts w:hint="eastAsia" w:ascii="黑体" w:eastAsia="黑体" w:cs="黑体"/>
          <w:sz w:val="28"/>
          <w:szCs w:val="28"/>
        </w:rPr>
        <w:fldChar w:fldCharType="end"/>
      </w:r>
    </w:p>
    <w:p>
      <w:pPr>
        <w:pStyle w:val="13"/>
        <w:tabs>
          <w:tab w:val="right" w:leader="dot" w:pos="8306"/>
          <w:tab w:val="clear" w:pos="8296"/>
        </w:tabs>
        <w:rPr>
          <w:rFonts w:hint="eastAsia" w:ascii="黑体" w:eastAsia="黑体" w:cs="黑体"/>
          <w:sz w:val="36"/>
          <w:szCs w:val="36"/>
          <w:lang w:val="en-US" w:eastAsia="zh-CN"/>
        </w:rPr>
      </w:pPr>
      <w:r>
        <w:fldChar w:fldCharType="begin"/>
      </w:r>
      <w:r>
        <w:instrText xml:space="preserve"> HYPERLINK \l "_Toc3233" </w:instrText>
      </w:r>
      <w:r>
        <w:fldChar w:fldCharType="separate"/>
      </w:r>
      <w:r>
        <w:rPr>
          <w:rFonts w:hint="eastAsia" w:ascii="黑体" w:eastAsia="黑体" w:cs="黑体"/>
          <w:kern w:val="44"/>
          <w:sz w:val="36"/>
          <w:szCs w:val="36"/>
        </w:rPr>
        <w:t>第三部分 名词解释</w:t>
      </w:r>
      <w:r>
        <w:rPr>
          <w:rFonts w:hint="eastAsia" w:ascii="黑体" w:eastAsia="黑体" w:cs="黑体"/>
          <w:sz w:val="36"/>
          <w:szCs w:val="36"/>
        </w:rPr>
        <w:tab/>
      </w:r>
      <w:r>
        <w:rPr>
          <w:rFonts w:hint="eastAsia" w:ascii="黑体" w:eastAsia="黑体" w:cs="黑体"/>
          <w:sz w:val="28"/>
          <w:szCs w:val="28"/>
          <w:lang w:val="en-US" w:eastAsia="zh-CN"/>
        </w:rPr>
        <w:t>1</w:t>
      </w:r>
      <w:r>
        <w:rPr>
          <w:rFonts w:hint="eastAsia" w:ascii="黑体" w:eastAsia="黑体" w:cs="黑体"/>
          <w:sz w:val="32"/>
          <w:szCs w:val="32"/>
        </w:rPr>
        <w:fldChar w:fldCharType="end"/>
      </w:r>
      <w:r>
        <w:rPr>
          <w:rFonts w:hint="eastAsia" w:ascii="黑体" w:eastAsia="黑体" w:cs="黑体"/>
          <w:sz w:val="32"/>
          <w:szCs w:val="32"/>
          <w:lang w:val="en-US" w:eastAsia="zh-CN"/>
        </w:rPr>
        <w:t>6</w:t>
      </w:r>
    </w:p>
    <w:p>
      <w:pPr>
        <w:pStyle w:val="13"/>
        <w:tabs>
          <w:tab w:val="right" w:leader="dot" w:pos="8306"/>
          <w:tab w:val="clear" w:pos="8296"/>
        </w:tabs>
        <w:rPr>
          <w:rFonts w:hint="eastAsia" w:ascii="黑体" w:eastAsia="黑体" w:cs="黑体"/>
          <w:sz w:val="36"/>
          <w:szCs w:val="36"/>
          <w:lang w:val="en-US" w:eastAsia="zh-CN"/>
        </w:rPr>
      </w:pPr>
      <w:r>
        <w:fldChar w:fldCharType="begin"/>
      </w:r>
      <w:r>
        <w:instrText xml:space="preserve"> HYPERLINK \l "_Toc30239" </w:instrText>
      </w:r>
      <w:r>
        <w:fldChar w:fldCharType="separate"/>
      </w:r>
      <w:r>
        <w:rPr>
          <w:rFonts w:hint="eastAsia" w:ascii="黑体" w:eastAsia="黑体" w:cs="黑体"/>
          <w:kern w:val="44"/>
          <w:sz w:val="36"/>
          <w:szCs w:val="36"/>
        </w:rPr>
        <w:t>第四部分 附 件</w:t>
      </w:r>
      <w:r>
        <w:rPr>
          <w:rFonts w:hint="eastAsia" w:ascii="黑体" w:eastAsia="黑体" w:cs="黑体"/>
          <w:sz w:val="36"/>
          <w:szCs w:val="36"/>
        </w:rPr>
        <w:tab/>
      </w:r>
      <w:r>
        <w:rPr>
          <w:rFonts w:hint="eastAsia" w:ascii="黑体" w:eastAsia="黑体" w:cs="黑体"/>
          <w:sz w:val="28"/>
          <w:szCs w:val="28"/>
          <w:lang w:val="en-US" w:eastAsia="zh-CN"/>
        </w:rPr>
        <w:t>1</w:t>
      </w:r>
      <w:r>
        <w:rPr>
          <w:rFonts w:hint="eastAsia" w:ascii="黑体" w:eastAsia="黑体" w:cs="黑体"/>
          <w:sz w:val="32"/>
          <w:szCs w:val="32"/>
        </w:rPr>
        <w:fldChar w:fldCharType="end"/>
      </w:r>
      <w:r>
        <w:rPr>
          <w:rFonts w:hint="eastAsia" w:ascii="黑体" w:eastAsia="黑体" w:cs="黑体"/>
          <w:sz w:val="32"/>
          <w:szCs w:val="32"/>
          <w:lang w:val="en-US" w:eastAsia="zh-CN"/>
        </w:rPr>
        <w:t>9</w:t>
      </w:r>
    </w:p>
    <w:p>
      <w:pPr>
        <w:pStyle w:val="13"/>
        <w:tabs>
          <w:tab w:val="right" w:leader="dot" w:pos="8306"/>
          <w:tab w:val="clear" w:pos="8296"/>
        </w:tabs>
        <w:rPr>
          <w:rFonts w:hint="eastAsia" w:ascii="黑体" w:eastAsia="黑体" w:cs="黑体"/>
          <w:sz w:val="32"/>
          <w:szCs w:val="32"/>
          <w:lang w:val="en-US" w:eastAsia="zh-CN"/>
        </w:rPr>
      </w:pPr>
      <w:r>
        <w:fldChar w:fldCharType="begin"/>
      </w:r>
      <w:r>
        <w:instrText xml:space="preserve"> HYPERLINK \l "_Toc28082" </w:instrText>
      </w:r>
      <w:r>
        <w:fldChar w:fldCharType="separate"/>
      </w:r>
      <w:r>
        <w:rPr>
          <w:rFonts w:hint="eastAsia" w:ascii="黑体" w:eastAsia="黑体" w:cs="黑体"/>
          <w:sz w:val="36"/>
          <w:szCs w:val="36"/>
        </w:rPr>
        <w:t>第五部分 附 表</w:t>
      </w:r>
      <w:r>
        <w:rPr>
          <w:rFonts w:hint="eastAsia" w:ascii="黑体" w:eastAsia="黑体" w:cs="黑体"/>
          <w:sz w:val="36"/>
          <w:szCs w:val="36"/>
        </w:rPr>
        <w:tab/>
      </w:r>
      <w:r>
        <w:rPr>
          <w:rFonts w:hint="eastAsia" w:ascii="黑体" w:eastAsia="黑体" w:cs="黑体"/>
          <w:sz w:val="28"/>
          <w:szCs w:val="28"/>
          <w:lang w:val="en-US" w:eastAsia="zh-CN"/>
        </w:rPr>
        <w:t>5</w:t>
      </w:r>
      <w:r>
        <w:rPr>
          <w:rFonts w:hint="eastAsia" w:ascii="黑体" w:eastAsia="黑体" w:cs="黑体"/>
          <w:sz w:val="32"/>
          <w:szCs w:val="32"/>
        </w:rPr>
        <w:fldChar w:fldCharType="end"/>
      </w:r>
      <w:r>
        <w:rPr>
          <w:rFonts w:hint="eastAsia" w:ascii="黑体" w:eastAsia="黑体" w:cs="黑体"/>
          <w:sz w:val="28"/>
          <w:szCs w:val="28"/>
          <w:lang w:val="en-US" w:eastAsia="zh-CN"/>
        </w:rPr>
        <w:t>3</w:t>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"_Toc194" </w:instrText>
      </w:r>
      <w:r>
        <w:fldChar w:fldCharType="separate"/>
      </w:r>
      <w:r>
        <w:rPr>
          <w:rFonts w:hint="eastAsia" w:ascii="黑体" w:eastAsia="黑体" w:cs="黑体"/>
          <w:kern w:val="0"/>
          <w:sz w:val="32"/>
          <w:szCs w:val="32"/>
          <w:shd w:val="clear" w:color="auto" w:fill="FFFFFF"/>
        </w:rPr>
        <w:t>一、收入支出决算总表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"_Toc22630" </w:instrText>
      </w:r>
      <w:r>
        <w:fldChar w:fldCharType="separate"/>
      </w:r>
      <w:r>
        <w:rPr>
          <w:rFonts w:hint="eastAsia" w:ascii="黑体" w:eastAsia="黑体" w:cs="黑体"/>
          <w:kern w:val="0"/>
          <w:sz w:val="32"/>
          <w:szCs w:val="32"/>
          <w:shd w:val="clear" w:color="auto" w:fill="FFFFFF"/>
        </w:rPr>
        <w:t>二、收入决算表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"_Toc25714" </w:instrText>
      </w:r>
      <w:r>
        <w:fldChar w:fldCharType="separate"/>
      </w:r>
      <w:r>
        <w:rPr>
          <w:rFonts w:hint="eastAsia" w:ascii="黑体" w:eastAsia="黑体" w:cs="黑体"/>
          <w:kern w:val="0"/>
          <w:sz w:val="32"/>
          <w:szCs w:val="32"/>
          <w:shd w:val="clear" w:color="auto" w:fill="FFFFFF"/>
        </w:rPr>
        <w:t>三、支出决算表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"_Toc30486" </w:instrText>
      </w:r>
      <w:r>
        <w:fldChar w:fldCharType="separate"/>
      </w:r>
      <w:r>
        <w:rPr>
          <w:rFonts w:hint="eastAsia" w:ascii="黑体" w:eastAsia="黑体" w:cs="黑体"/>
          <w:kern w:val="0"/>
          <w:sz w:val="32"/>
          <w:szCs w:val="32"/>
          <w:shd w:val="clear" w:color="auto" w:fill="FFFFFF"/>
        </w:rPr>
        <w:t>四、财政拨款收入支出决算总表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"_Toc3011" </w:instrText>
      </w:r>
      <w:r>
        <w:fldChar w:fldCharType="separate"/>
      </w:r>
      <w:r>
        <w:rPr>
          <w:rFonts w:hint="eastAsia" w:ascii="黑体" w:eastAsia="黑体" w:cs="黑体"/>
          <w:kern w:val="0"/>
          <w:sz w:val="32"/>
          <w:szCs w:val="32"/>
          <w:shd w:val="clear" w:color="auto" w:fill="FFFFFF"/>
        </w:rPr>
        <w:t>五、财政拨款支出决算明细表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"_Toc21793" </w:instrText>
      </w:r>
      <w:r>
        <w:fldChar w:fldCharType="separate"/>
      </w:r>
      <w:r>
        <w:rPr>
          <w:rFonts w:hint="eastAsia" w:ascii="黑体" w:eastAsia="黑体" w:cs="黑体"/>
          <w:kern w:val="0"/>
          <w:sz w:val="32"/>
          <w:szCs w:val="32"/>
          <w:shd w:val="clear" w:color="auto" w:fill="FFFFFF"/>
        </w:rPr>
        <w:t>六、一般公共预算财政拨款支出决算表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"_Toc23372" </w:instrText>
      </w:r>
      <w:r>
        <w:fldChar w:fldCharType="separate"/>
      </w:r>
      <w:r>
        <w:rPr>
          <w:rFonts w:hint="eastAsia" w:ascii="黑体" w:eastAsia="黑体" w:cs="黑体"/>
          <w:kern w:val="0"/>
          <w:sz w:val="32"/>
          <w:szCs w:val="32"/>
          <w:shd w:val="clear" w:color="auto" w:fill="FFFFFF"/>
        </w:rPr>
        <w:t>七、一般公共预算财政拨款支出决算明细表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"_Toc30888" </w:instrText>
      </w:r>
      <w:r>
        <w:fldChar w:fldCharType="separate"/>
      </w:r>
      <w:r>
        <w:rPr>
          <w:rFonts w:hint="eastAsia" w:ascii="黑体" w:eastAsia="黑体" w:cs="黑体"/>
          <w:kern w:val="0"/>
          <w:sz w:val="32"/>
          <w:szCs w:val="32"/>
          <w:shd w:val="clear" w:color="auto" w:fill="FFFFFF"/>
        </w:rPr>
        <w:t>八、一般公共预算财政拨款基本支出决算表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"_Toc19690" </w:instrText>
      </w:r>
      <w:r>
        <w:fldChar w:fldCharType="separate"/>
      </w:r>
      <w:r>
        <w:rPr>
          <w:rFonts w:hint="eastAsia" w:ascii="黑体" w:eastAsia="黑体" w:cs="黑体"/>
          <w:kern w:val="0"/>
          <w:sz w:val="32"/>
          <w:szCs w:val="32"/>
          <w:shd w:val="clear" w:color="auto" w:fill="FFFFFF"/>
        </w:rPr>
        <w:t>九、一般公共预算财政拨款项目支出决算表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"_Toc22355" </w:instrText>
      </w:r>
      <w:r>
        <w:fldChar w:fldCharType="separate"/>
      </w:r>
      <w:r>
        <w:rPr>
          <w:rFonts w:hint="eastAsia" w:ascii="黑体" w:eastAsia="黑体" w:cs="黑体"/>
          <w:kern w:val="0"/>
          <w:sz w:val="32"/>
          <w:szCs w:val="32"/>
          <w:shd w:val="clear" w:color="auto" w:fill="FFFFFF"/>
        </w:rPr>
        <w:t>十、政府性基金预算财政拨款收入支出决算表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"_Toc15864" </w:instrText>
      </w:r>
      <w:r>
        <w:fldChar w:fldCharType="separate"/>
      </w:r>
      <w:r>
        <w:rPr>
          <w:rFonts w:hint="eastAsia" w:ascii="黑体" w:eastAsia="黑体" w:cs="黑体"/>
          <w:kern w:val="0"/>
          <w:sz w:val="32"/>
          <w:szCs w:val="32"/>
          <w:shd w:val="clear" w:color="auto" w:fill="FFFFFF"/>
        </w:rPr>
        <w:t>十一、国有资本经营预算财政拨款收入支出决算表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rFonts w:ascii="黑体" w:eastAsia="黑体" w:cs="黑体"/>
          <w:sz w:val="32"/>
          <w:szCs w:val="32"/>
        </w:rPr>
      </w:pPr>
      <w:r>
        <w:fldChar w:fldCharType="begin"/>
      </w:r>
      <w:r>
        <w:instrText xml:space="preserve"> HYPERLINK \l "_Toc26137" </w:instrText>
      </w:r>
      <w:r>
        <w:fldChar w:fldCharType="separate"/>
      </w:r>
      <w:r>
        <w:rPr>
          <w:rFonts w:hint="eastAsia" w:ascii="黑体" w:eastAsia="黑体" w:cs="黑体"/>
          <w:kern w:val="0"/>
          <w:sz w:val="32"/>
          <w:szCs w:val="32"/>
          <w:shd w:val="clear" w:color="auto" w:fill="FFFFFF"/>
        </w:rPr>
        <w:t>十二、国有资本经营预算财政拨款支出决算表</w:t>
      </w:r>
      <w:r>
        <w:rPr>
          <w:rFonts w:hint="eastAsia" w:ascii="黑体" w:eastAsia="黑体" w:cs="黑体"/>
          <w:kern w:val="0"/>
          <w:sz w:val="32"/>
          <w:szCs w:val="32"/>
          <w:shd w:val="clear" w:color="auto" w:fill="FFFFFF"/>
        </w:rPr>
        <w:fldChar w:fldCharType="end"/>
      </w:r>
    </w:p>
    <w:p>
      <w:pPr>
        <w:pStyle w:val="15"/>
        <w:tabs>
          <w:tab w:val="right" w:leader="dot" w:pos="8306"/>
          <w:tab w:val="clear" w:pos="8296"/>
        </w:tabs>
        <w:ind w:left="420"/>
        <w:rPr>
          <w:sz w:val="32"/>
          <w:szCs w:val="32"/>
        </w:rPr>
      </w:pPr>
      <w:r>
        <w:fldChar w:fldCharType="begin"/>
      </w:r>
      <w:r>
        <w:instrText xml:space="preserve"> HYPERLINK \l "_Toc20596" </w:instrText>
      </w:r>
      <w:r>
        <w:fldChar w:fldCharType="separate"/>
      </w:r>
      <w:r>
        <w:rPr>
          <w:rFonts w:hint="eastAsia" w:ascii="黑体" w:eastAsia="黑体" w:cs="黑体"/>
          <w:kern w:val="0"/>
          <w:sz w:val="32"/>
          <w:szCs w:val="32"/>
          <w:shd w:val="clear" w:color="auto" w:fill="FFFFFF"/>
        </w:rPr>
        <w:t>十三、财政拨款“三公”经费支出决算表</w:t>
      </w:r>
      <w:r>
        <w:rPr>
          <w:rFonts w:hint="eastAsia" w:ascii="黑体" w:eastAsia="黑体" w:cs="黑体"/>
          <w:kern w:val="0"/>
          <w:sz w:val="32"/>
          <w:szCs w:val="32"/>
          <w:shd w:val="clear" w:color="auto" w:fill="FFFFFF"/>
        </w:rPr>
        <w:fldChar w:fldCharType="end"/>
      </w:r>
    </w:p>
    <w:p>
      <w:pPr>
        <w:pStyle w:val="3"/>
        <w:jc w:val="center"/>
        <w:rPr>
          <w:rFonts w:ascii="仿宋_GB2312" w:eastAsia="仿宋_GB2312"/>
          <w:bCs w:val="0"/>
          <w:sz w:val="32"/>
          <w:szCs w:val="32"/>
          <w:lang w:val="zh-CN"/>
        </w:rPr>
        <w:sectPr>
          <w:headerReference r:id="rId7" w:type="default"/>
          <w:footerReference r:id="rId8" w:type="default"/>
          <w:pgSz w:w="11906" w:h="16838"/>
          <w:pgMar w:top="1440" w:right="1800" w:bottom="1440" w:left="1800" w:header="0" w:footer="992" w:gutter="0"/>
          <w:pgNumType w:fmt="decimal" w:start="1"/>
          <w:cols w:space="720" w:num="1"/>
          <w:docGrid w:type="lines" w:linePitch="312" w:charSpace="0"/>
        </w:sectPr>
      </w:pPr>
    </w:p>
    <w:p>
      <w:pPr>
        <w:pStyle w:val="3"/>
        <w:jc w:val="both"/>
        <w:rPr>
          <w:rFonts w:ascii="方正小标宋简体" w:eastAsia="方正小标宋简体" w:cs="方正小标宋简体"/>
          <w:b w:val="0"/>
          <w:bCs w:val="0"/>
        </w:rPr>
      </w:pPr>
      <w:r>
        <w:rPr>
          <w:rFonts w:hint="eastAsia" w:ascii="仿宋_GB2312" w:eastAsia="仿宋_GB2312"/>
          <w:bCs w:val="0"/>
          <w:sz w:val="32"/>
          <w:szCs w:val="32"/>
          <w:lang w:val="zh-CN"/>
        </w:rPr>
        <w:fldChar w:fldCharType="end"/>
      </w:r>
      <w:bookmarkEnd w:id="11"/>
      <w:bookmarkEnd w:id="12"/>
      <w:bookmarkStart w:id="13" w:name="_Toc83062163"/>
      <w:bookmarkStart w:id="14" w:name="_Toc6392"/>
      <w:r>
        <w:rPr>
          <w:rFonts w:hint="eastAsia" w:ascii="方正小标宋简体" w:eastAsia="方正小标宋简体" w:cs="方正小标宋简体"/>
          <w:b w:val="0"/>
          <w:bCs w:val="0"/>
        </w:rPr>
        <w:t xml:space="preserve">第一部分 </w:t>
      </w:r>
      <w:r>
        <w:rPr>
          <w:rFonts w:hint="eastAsia" w:ascii="方正小标宋简体" w:eastAsia="方正小标宋简体" w:cs="方正小标宋简体"/>
          <w:b w:val="0"/>
          <w:bCs w:val="0"/>
          <w:lang w:val="en-US" w:eastAsia="zh-CN"/>
        </w:rPr>
        <w:t>部门</w:t>
      </w:r>
      <w:r>
        <w:rPr>
          <w:rFonts w:hint="eastAsia" w:ascii="方正小标宋简体" w:eastAsia="方正小标宋简体" w:cs="方正小标宋简体"/>
          <w:b w:val="0"/>
          <w:bCs w:val="0"/>
        </w:rPr>
        <w:t>概况</w:t>
      </w:r>
      <w:bookmarkEnd w:id="13"/>
      <w:bookmarkEnd w:id="14"/>
    </w:p>
    <w:p>
      <w:pPr>
        <w:pStyle w:val="4"/>
        <w:numPr>
          <w:ilvl w:val="0"/>
          <w:numId w:val="1"/>
        </w:numPr>
        <w:ind w:firstLine="643" w:firstLineChars="200"/>
        <w:rPr>
          <w:rStyle w:val="24"/>
          <w:rFonts w:ascii="黑体" w:eastAsia="黑体" w:cs="黑体"/>
          <w:b/>
          <w:bCs/>
        </w:rPr>
      </w:pPr>
      <w:bookmarkStart w:id="15" w:name="_Toc15396600"/>
      <w:bookmarkStart w:id="16" w:name="_Toc15377197"/>
      <w:bookmarkStart w:id="17" w:name="_Toc83062164"/>
      <w:bookmarkStart w:id="18" w:name="_Toc14193"/>
      <w:r>
        <w:rPr>
          <w:rFonts w:hint="eastAsia" w:ascii="黑体" w:eastAsia="黑体" w:cs="黑体"/>
          <w:color w:val="000000"/>
          <w:lang w:val="en-US" w:eastAsia="zh-CN"/>
        </w:rPr>
        <w:t>部门</w:t>
      </w:r>
      <w:r>
        <w:rPr>
          <w:rStyle w:val="24"/>
          <w:rFonts w:hint="eastAsia" w:ascii="黑体" w:eastAsia="黑体" w:cs="黑体"/>
          <w:b/>
          <w:bCs/>
        </w:rPr>
        <w:t>职</w:t>
      </w:r>
      <w:bookmarkEnd w:id="15"/>
      <w:bookmarkEnd w:id="16"/>
      <w:bookmarkEnd w:id="17"/>
      <w:r>
        <w:rPr>
          <w:rStyle w:val="24"/>
          <w:rFonts w:hint="eastAsia" w:ascii="黑体" w:eastAsia="黑体" w:cs="黑体"/>
          <w:b/>
          <w:bCs/>
        </w:rPr>
        <w:t>责</w:t>
      </w:r>
      <w:bookmarkEnd w:id="18"/>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sz w:val="32"/>
          <w:szCs w:val="32"/>
        </w:rPr>
      </w:pPr>
      <w:bookmarkStart w:id="19" w:name="_Toc29501"/>
      <w:bookmarkStart w:id="20" w:name="_Toc7714"/>
      <w:bookmarkStart w:id="21" w:name="_Toc15377204"/>
      <w:bookmarkStart w:id="22" w:name="_Toc83062168"/>
      <w:bookmarkStart w:id="23" w:name="_Toc15396602"/>
      <w:r>
        <w:rPr>
          <w:rFonts w:hint="eastAsia" w:ascii="仿宋_GB2312" w:hAnsi="仿宋" w:eastAsia="仿宋_GB2312"/>
          <w:sz w:val="32"/>
          <w:szCs w:val="32"/>
          <w:lang w:val="en-US" w:eastAsia="zh-CN"/>
        </w:rPr>
        <w:t>阿坝</w:t>
      </w:r>
      <w:r>
        <w:rPr>
          <w:rFonts w:hint="eastAsia" w:ascii="仿宋_GB2312" w:hAnsi="仿宋" w:eastAsia="仿宋_GB2312"/>
          <w:sz w:val="32"/>
          <w:szCs w:val="32"/>
        </w:rPr>
        <w:t>州</w:t>
      </w:r>
      <w:r>
        <w:rPr>
          <w:rFonts w:hint="eastAsia" w:ascii="仿宋_GB2312" w:hAnsi="仿宋" w:eastAsia="仿宋_GB2312"/>
          <w:sz w:val="32"/>
          <w:szCs w:val="32"/>
          <w:lang w:val="en-US" w:eastAsia="zh-CN"/>
        </w:rPr>
        <w:t>社会科学界联合会</w:t>
      </w:r>
      <w:r>
        <w:rPr>
          <w:rFonts w:hint="eastAsia" w:ascii="仿宋_GB2312" w:hAnsi="仿宋" w:eastAsia="仿宋_GB2312"/>
          <w:sz w:val="32"/>
          <w:szCs w:val="32"/>
        </w:rPr>
        <w:t>是州委、州政府领导下的具有一定行政管理职能的学术性人民团体，是党和政府联系广大社会科学工作者的桥梁和纽带。其主要职能职责是：积极宣传、认真贯彻执行党的路线、方针、政策，反映社会科学工作者的要求，维护会员的合法权益，促进社会科学工作者的团结，充分发挥社会科学工作者的作用，构建和谐社科界；负责新申报的州级学会、协会、研究会的资格审查；指导和管理全州性社会科学社会团体、民办社会科学研究机构开展活动，促进和加强学术团体之间、学科之间的联系与合作。负责全州社会科学研究的近期规划和长远规划，批准全州社会科学规划课题；组织开展社会科学优秀科研成果的评奖活动，安排部分获奖成果的出版、宣传、推广工作；指导社会科学普及基地建设，整合全州社会科学资源，开展学术研究和课题调研，为各级党委政府的中心工作提供决策咨询和智力支撑；组织多形式、多层次、多方面的学术探讨、调查研究、决策咨询；编制全州社会科学普及规划，组织各种形式的社会科学知识普及活动，开展社科知识宣传、培训、咨询服务工作；促进社会科学学术团体之间、理论工作部门与实际工作部门之间、社会科学界与自然科学界之间的联系和合</w:t>
      </w:r>
      <w:r>
        <w:rPr>
          <w:rFonts w:hint="eastAsia" w:ascii="方正仿宋_GB2312" w:hAnsi="方正仿宋_GB2312" w:eastAsia="方正仿宋_GB2312" w:cs="方正仿宋_GB2312"/>
          <w:sz w:val="32"/>
          <w:szCs w:val="32"/>
        </w:rPr>
        <w:t>作；促进社会科学学科建设，发展、壮大社会科学理论队伍，扶持、培养优秀社会科学人才; 参与推荐社科界创新人才、社会科学学术技术带头人及后备人选的工作。</w:t>
      </w:r>
    </w:p>
    <w:bookmarkEnd w:id="19"/>
    <w:p>
      <w:pPr>
        <w:pStyle w:val="4"/>
        <w:keepNext w:val="0"/>
        <w:keepLines w:val="0"/>
        <w:widowControl/>
        <w:ind w:firstLine="321" w:firstLineChars="100"/>
        <w:rPr>
          <w:rFonts w:ascii="黑体" w:eastAsia="黑体" w:cs="黑体"/>
        </w:rPr>
      </w:pPr>
      <w:r>
        <w:rPr>
          <w:rFonts w:hint="eastAsia" w:ascii="黑体" w:eastAsia="黑体" w:cs="黑体"/>
        </w:rPr>
        <w:t>二、机构设置</w:t>
      </w:r>
      <w:bookmarkEnd w:id="20"/>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pacing w:val="-14"/>
          <w:sz w:val="32"/>
          <w:szCs w:val="32"/>
          <w:lang w:val="en-US" w:eastAsia="zh-CN"/>
        </w:rPr>
      </w:pPr>
      <w:bookmarkStart w:id="24" w:name="_Toc22221"/>
      <w:r>
        <w:rPr>
          <w:rFonts w:hint="eastAsia" w:ascii="仿宋_GB2312" w:hAnsi="仿宋_GB2312" w:eastAsia="仿宋_GB2312" w:cs="仿宋_GB2312"/>
          <w:sz w:val="32"/>
          <w:szCs w:val="32"/>
          <w:lang w:val="en-US" w:eastAsia="zh-CN"/>
        </w:rPr>
        <w:t>阿坝</w:t>
      </w:r>
      <w:r>
        <w:rPr>
          <w:rFonts w:hint="eastAsia" w:ascii="仿宋_GB2312" w:hAnsi="仿宋_GB2312" w:eastAsia="仿宋_GB2312" w:cs="仿宋_GB2312"/>
          <w:sz w:val="32"/>
          <w:szCs w:val="32"/>
        </w:rPr>
        <w:t>州</w:t>
      </w:r>
      <w:r>
        <w:rPr>
          <w:rFonts w:hint="eastAsia" w:ascii="仿宋_GB2312" w:hAnsi="仿宋_GB2312" w:eastAsia="仿宋_GB2312" w:cs="仿宋_GB2312"/>
          <w:sz w:val="32"/>
          <w:szCs w:val="32"/>
          <w:lang w:val="en-US" w:eastAsia="zh-CN"/>
        </w:rPr>
        <w:t>社会科学界联合会</w:t>
      </w:r>
      <w:r>
        <w:rPr>
          <w:rFonts w:hint="eastAsia" w:ascii="仿宋_GB2312" w:hAnsi="仿宋_GB2312" w:eastAsia="仿宋_GB2312" w:cs="仿宋_GB2312"/>
          <w:spacing w:val="-14"/>
          <w:sz w:val="32"/>
          <w:szCs w:val="32"/>
          <w:lang w:val="en-US" w:eastAsia="zh-CN"/>
        </w:rPr>
        <w:t>是参照公务员法管理的事业单位，设办公室、学术科研部、科普宣传部、思想政治研究会秘书处 4 个科室，无下属二级单位。</w:t>
      </w:r>
    </w:p>
    <w:p>
      <w:pPr>
        <w:pStyle w:val="2"/>
        <w:rPr>
          <w:rFonts w:hint="eastAsia" w:ascii="仿宋_GB2312" w:hAnsi="仿宋_GB2312" w:eastAsia="仿宋_GB2312" w:cs="仿宋_GB2312"/>
          <w:spacing w:val="-14"/>
          <w:sz w:val="32"/>
          <w:szCs w:val="32"/>
          <w:lang w:val="en-US" w:eastAsia="zh-CN"/>
        </w:rPr>
      </w:pPr>
    </w:p>
    <w:p>
      <w:pPr>
        <w:rPr>
          <w:rFonts w:hint="eastAsia" w:ascii="仿宋_GB2312" w:hAnsi="仿宋_GB2312" w:eastAsia="仿宋_GB2312" w:cs="仿宋_GB2312"/>
          <w:spacing w:val="-14"/>
          <w:sz w:val="32"/>
          <w:szCs w:val="32"/>
          <w:lang w:val="en-US" w:eastAsia="zh-CN"/>
        </w:rPr>
      </w:pPr>
    </w:p>
    <w:p>
      <w:pPr>
        <w:pStyle w:val="2"/>
        <w:rPr>
          <w:rFonts w:hint="eastAsia" w:ascii="仿宋_GB2312" w:hAnsi="仿宋_GB2312" w:eastAsia="仿宋_GB2312" w:cs="仿宋_GB2312"/>
          <w:spacing w:val="-14"/>
          <w:sz w:val="32"/>
          <w:szCs w:val="32"/>
          <w:lang w:val="en-US" w:eastAsia="zh-CN"/>
        </w:rPr>
      </w:pPr>
    </w:p>
    <w:p>
      <w:pPr>
        <w:rPr>
          <w:rFonts w:hint="eastAsia" w:ascii="仿宋_GB2312" w:hAnsi="仿宋_GB2312" w:eastAsia="仿宋_GB2312" w:cs="仿宋_GB2312"/>
          <w:spacing w:val="-14"/>
          <w:sz w:val="32"/>
          <w:szCs w:val="32"/>
          <w:lang w:val="en-US" w:eastAsia="zh-CN"/>
        </w:rPr>
      </w:pPr>
    </w:p>
    <w:p>
      <w:pPr>
        <w:pStyle w:val="2"/>
        <w:rPr>
          <w:rFonts w:hint="eastAsia" w:ascii="仿宋_GB2312" w:hAnsi="仿宋_GB2312" w:eastAsia="仿宋_GB2312" w:cs="仿宋_GB2312"/>
          <w:spacing w:val="-14"/>
          <w:sz w:val="32"/>
          <w:szCs w:val="32"/>
          <w:lang w:val="en-US" w:eastAsia="zh-CN"/>
        </w:rPr>
      </w:pPr>
    </w:p>
    <w:p>
      <w:pPr>
        <w:rPr>
          <w:rFonts w:hint="eastAsia" w:ascii="仿宋_GB2312" w:hAnsi="仿宋_GB2312" w:eastAsia="仿宋_GB2312" w:cs="仿宋_GB2312"/>
          <w:spacing w:val="-14"/>
          <w:sz w:val="32"/>
          <w:szCs w:val="32"/>
          <w:lang w:val="en-US" w:eastAsia="zh-CN"/>
        </w:rPr>
      </w:pPr>
    </w:p>
    <w:p>
      <w:pPr>
        <w:pStyle w:val="2"/>
        <w:rPr>
          <w:rFonts w:hint="eastAsia" w:ascii="仿宋_GB2312" w:hAnsi="仿宋_GB2312" w:eastAsia="仿宋_GB2312" w:cs="仿宋_GB2312"/>
          <w:spacing w:val="-14"/>
          <w:sz w:val="32"/>
          <w:szCs w:val="32"/>
          <w:lang w:val="en-US" w:eastAsia="zh-CN"/>
        </w:rPr>
      </w:pPr>
    </w:p>
    <w:p>
      <w:pPr>
        <w:rPr>
          <w:rFonts w:hint="eastAsia" w:ascii="仿宋_GB2312" w:hAnsi="仿宋_GB2312" w:eastAsia="仿宋_GB2312" w:cs="仿宋_GB2312"/>
          <w:spacing w:val="-14"/>
          <w:sz w:val="32"/>
          <w:szCs w:val="32"/>
          <w:lang w:val="en-US" w:eastAsia="zh-CN"/>
        </w:rPr>
      </w:pPr>
    </w:p>
    <w:p>
      <w:pPr>
        <w:pStyle w:val="2"/>
        <w:rPr>
          <w:rFonts w:hint="eastAsia"/>
          <w:lang w:val="en-US" w:eastAsia="zh-CN"/>
        </w:rPr>
      </w:pPr>
    </w:p>
    <w:p>
      <w:pPr>
        <w:rPr>
          <w:rFonts w:hint="eastAsia"/>
          <w:lang w:val="en-US" w:eastAsia="zh-CN"/>
        </w:rPr>
      </w:pPr>
    </w:p>
    <w:p>
      <w:pPr>
        <w:pStyle w:val="17"/>
        <w:ind w:left="0" w:leftChars="0" w:firstLine="0" w:firstLineChars="0"/>
        <w:rPr>
          <w:rFonts w:hint="eastAsia"/>
          <w:lang w:val="en-US" w:eastAsia="zh-CN"/>
        </w:rPr>
      </w:pPr>
    </w:p>
    <w:p>
      <w:pPr>
        <w:rPr>
          <w:rFonts w:ascii="方正小标宋简体" w:eastAsia="方正小标宋简体" w:cs="方正小标宋简体"/>
          <w:kern w:val="44"/>
          <w:sz w:val="44"/>
          <w:szCs w:val="44"/>
        </w:rPr>
      </w:pPr>
      <w:r>
        <w:rPr>
          <w:rFonts w:hint="eastAsia" w:ascii="方正小标宋简体" w:eastAsia="方正小标宋简体" w:cs="方正小标宋简体"/>
          <w:kern w:val="44"/>
          <w:sz w:val="44"/>
          <w:szCs w:val="44"/>
        </w:rPr>
        <w:t>第二部分202</w:t>
      </w:r>
      <w:r>
        <w:rPr>
          <w:rFonts w:hint="eastAsia" w:ascii="方正小标宋简体" w:eastAsia="方正小标宋简体" w:cs="方正小标宋简体"/>
          <w:kern w:val="44"/>
          <w:sz w:val="44"/>
          <w:szCs w:val="44"/>
          <w:lang w:val="en-US" w:eastAsia="zh-CN"/>
        </w:rPr>
        <w:t>4</w:t>
      </w:r>
      <w:r>
        <w:rPr>
          <w:rFonts w:hint="eastAsia" w:ascii="方正小标宋简体" w:eastAsia="方正小标宋简体" w:cs="方正小标宋简体"/>
          <w:kern w:val="44"/>
          <w:sz w:val="44"/>
          <w:szCs w:val="44"/>
        </w:rPr>
        <w:t>年度</w:t>
      </w:r>
      <w:r>
        <w:rPr>
          <w:rFonts w:hint="eastAsia" w:ascii="方正小标宋简体" w:eastAsia="方正小标宋简体" w:cs="方正小标宋简体"/>
          <w:kern w:val="44"/>
          <w:sz w:val="44"/>
          <w:szCs w:val="44"/>
          <w:lang w:val="en-US" w:eastAsia="zh-CN"/>
        </w:rPr>
        <w:t>部门</w:t>
      </w:r>
      <w:r>
        <w:rPr>
          <w:rFonts w:hint="eastAsia" w:ascii="方正小标宋简体" w:eastAsia="方正小标宋简体" w:cs="方正小标宋简体"/>
          <w:kern w:val="44"/>
          <w:sz w:val="44"/>
          <w:szCs w:val="44"/>
        </w:rPr>
        <w:t>决算情况说明</w:t>
      </w:r>
      <w:bookmarkEnd w:id="21"/>
      <w:bookmarkEnd w:id="22"/>
      <w:bookmarkEnd w:id="23"/>
      <w:bookmarkEnd w:id="24"/>
    </w:p>
    <w:p>
      <w:pPr>
        <w:pStyle w:val="17"/>
        <w:ind w:left="420" w:firstLine="420"/>
      </w:pPr>
    </w:p>
    <w:p>
      <w:pPr>
        <w:pStyle w:val="34"/>
        <w:numPr>
          <w:ilvl w:val="0"/>
          <w:numId w:val="2"/>
        </w:numPr>
        <w:spacing w:line="600" w:lineRule="exact"/>
        <w:ind w:firstLineChars="0"/>
        <w:outlineLvl w:val="1"/>
        <w:rPr>
          <w:rStyle w:val="24"/>
          <w:rFonts w:ascii="黑体" w:eastAsia="黑体" w:cs="Times New Roman"/>
        </w:rPr>
      </w:pPr>
      <w:bookmarkStart w:id="25" w:name="_Toc83062169"/>
      <w:bookmarkStart w:id="26" w:name="_Toc15377205"/>
      <w:bookmarkStart w:id="27" w:name="_Toc15396603"/>
      <w:bookmarkStart w:id="28" w:name="_Toc17453"/>
      <w:r>
        <w:rPr>
          <w:rFonts w:hint="eastAsia" w:ascii="黑体" w:eastAsia="黑体" w:cs="黑体"/>
          <w:b/>
          <w:bCs/>
          <w:color w:val="000000"/>
          <w:sz w:val="32"/>
          <w:szCs w:val="32"/>
        </w:rPr>
        <w:t>收</w:t>
      </w:r>
      <w:r>
        <w:rPr>
          <w:rStyle w:val="24"/>
          <w:rFonts w:hint="eastAsia" w:ascii="黑体" w:eastAsia="黑体" w:cs="黑体"/>
        </w:rPr>
        <w:t>入支出决算总体情况说明</w:t>
      </w:r>
      <w:bookmarkEnd w:id="25"/>
      <w:bookmarkEnd w:id="26"/>
      <w:bookmarkEnd w:id="27"/>
      <w:bookmarkEnd w:id="28"/>
    </w:p>
    <w:p>
      <w:pPr>
        <w:rPr>
          <w:rStyle w:val="24"/>
          <w:rFonts w:ascii="黑体" w:eastAsia="黑体" w:cs="Times New Roma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b/>
          <w:bCs w:val="0"/>
          <w:sz w:val="32"/>
          <w:szCs w:val="32"/>
          <w:lang w:val="en-US" w:eastAsia="zh-CN"/>
        </w:rPr>
        <w:t>440.00</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3年度</w:t>
      </w:r>
      <w:r>
        <w:rPr>
          <w:rFonts w:hint="eastAsia" w:ascii="仿宋_GB2312" w:hAnsi="仿宋_GB2312" w:eastAsia="仿宋_GB2312" w:cs="仿宋_GB2312"/>
          <w:sz w:val="32"/>
          <w:szCs w:val="32"/>
        </w:rPr>
        <w:t>相比，收、支总计各</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b/>
          <w:bCs/>
          <w:sz w:val="32"/>
          <w:szCs w:val="32"/>
          <w:lang w:val="en-US" w:eastAsia="zh-CN"/>
        </w:rPr>
        <w:t>140.61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增长</w:t>
      </w:r>
      <w:r>
        <w:rPr>
          <w:rFonts w:hint="eastAsia" w:ascii="仿宋_GB2312" w:hAnsi="仿宋_GB2312" w:eastAsia="仿宋_GB2312" w:cs="仿宋_GB2312"/>
          <w:b/>
          <w:bCs/>
          <w:sz w:val="32"/>
          <w:szCs w:val="32"/>
          <w:lang w:val="en-US" w:eastAsia="zh-CN"/>
        </w:rPr>
        <w:t>46.97</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。主要原因是202</w:t>
      </w:r>
      <w:r>
        <w:rPr>
          <w:rFonts w:hint="eastAsia" w:ascii="仿宋_GB2312" w:hAnsi="仿宋_GB2312" w:eastAsia="仿宋_GB2312" w:cs="仿宋_GB2312"/>
          <w:sz w:val="32"/>
          <w:szCs w:val="32"/>
          <w:lang w:val="en-US" w:eastAsia="zh-CN"/>
        </w:rPr>
        <w:t>4年度</w:t>
      </w:r>
      <w:r>
        <w:rPr>
          <w:rFonts w:hint="eastAsia" w:ascii="仿宋_GB2312" w:hAnsi="仿宋_GB2312" w:eastAsia="仿宋_GB2312" w:cs="仿宋_GB2312"/>
          <w:sz w:val="32"/>
          <w:szCs w:val="32"/>
        </w:rPr>
        <w:t>我单位</w:t>
      </w:r>
      <w:r>
        <w:rPr>
          <w:rFonts w:hint="eastAsia" w:ascii="仿宋_GB2312" w:hAnsi="仿宋_GB2312" w:eastAsia="仿宋_GB2312" w:cs="仿宋_GB2312"/>
          <w:sz w:val="32"/>
          <w:szCs w:val="32"/>
          <w:lang w:val="en-US" w:eastAsia="zh-CN"/>
        </w:rPr>
        <w:t>项目经费比2023年度有所大幅增加</w:t>
      </w:r>
      <w:r>
        <w:rPr>
          <w:rFonts w:hint="eastAsia" w:ascii="仿宋_GB2312" w:hAnsi="仿宋_GB2312" w:eastAsia="仿宋_GB2312" w:cs="仿宋_GB2312"/>
          <w:sz w:val="32"/>
          <w:szCs w:val="32"/>
        </w:rPr>
        <w:t>，所以收、支总计比202</w:t>
      </w:r>
      <w:r>
        <w:rPr>
          <w:rFonts w:hint="eastAsia" w:ascii="仿宋_GB2312" w:hAnsi="仿宋_GB2312" w:eastAsia="仿宋_GB2312" w:cs="仿宋_GB2312"/>
          <w:sz w:val="32"/>
          <w:szCs w:val="32"/>
          <w:lang w:val="en-US" w:eastAsia="zh-CN"/>
        </w:rPr>
        <w:t>3年度增长</w:t>
      </w:r>
      <w:r>
        <w:rPr>
          <w:rFonts w:hint="eastAsia" w:ascii="仿宋_GB2312" w:hAnsi="仿宋_GB2312" w:eastAsia="仿宋_GB2312" w:cs="仿宋_GB2312"/>
          <w:sz w:val="32"/>
          <w:szCs w:val="32"/>
        </w:rPr>
        <w:t>。</w:t>
      </w:r>
    </w:p>
    <w:p>
      <w:pPr>
        <w:pStyle w:val="17"/>
        <w:rPr>
          <w:sz w:val="32"/>
          <w:szCs w:val="32"/>
        </w:rPr>
      </w:pPr>
    </w:p>
    <w:p>
      <w:pPr>
        <w:spacing w:line="360" w:lineRule="auto"/>
        <w:ind w:left="1470" w:leftChars="100" w:hanging="1260" w:hangingChars="600"/>
        <w:rPr>
          <w:rFonts w:hint="eastAsia" w:ascii="仿宋" w:eastAsia="仿宋" w:cs="仿宋"/>
          <w:sz w:val="32"/>
          <w:szCs w:val="32"/>
        </w:rPr>
      </w:pPr>
      <w:r>
        <w:drawing>
          <wp:inline distT="0" distB="0" distL="114300" distR="114300">
            <wp:extent cx="5299710" cy="4579620"/>
            <wp:effectExtent l="4445" t="4445" r="10795" b="64135"/>
            <wp:docPr id="2" name="图表 4" descr="7b0a202020202263686172745265734964223a202232303239343335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eastAsia" w:ascii="仿宋" w:eastAsia="仿宋" w:cs="仿宋"/>
          <w:sz w:val="32"/>
          <w:szCs w:val="32"/>
        </w:rPr>
        <w:t>（图</w:t>
      </w:r>
      <w:r>
        <w:rPr>
          <w:rFonts w:ascii="仿宋" w:eastAsia="仿宋" w:cs="仿宋"/>
          <w:sz w:val="32"/>
          <w:szCs w:val="32"/>
        </w:rPr>
        <w:t>1</w:t>
      </w:r>
      <w:r>
        <w:rPr>
          <w:rFonts w:hint="eastAsia" w:ascii="仿宋" w:eastAsia="仿宋" w:cs="仿宋"/>
          <w:sz w:val="32"/>
          <w:szCs w:val="32"/>
        </w:rPr>
        <w:t>：收</w:t>
      </w:r>
      <w:r>
        <w:rPr>
          <w:rFonts w:hint="eastAsia" w:ascii="仿宋" w:eastAsia="仿宋" w:cs="仿宋"/>
          <w:sz w:val="32"/>
          <w:szCs w:val="32"/>
          <w:lang w:val="en-US" w:eastAsia="zh-CN"/>
        </w:rPr>
        <w:t>入、支出</w:t>
      </w:r>
      <w:r>
        <w:rPr>
          <w:rFonts w:hint="eastAsia" w:ascii="仿宋" w:eastAsia="仿宋" w:cs="仿宋"/>
          <w:sz w:val="32"/>
          <w:szCs w:val="32"/>
        </w:rPr>
        <w:t>决算总计变动情况图）</w:t>
      </w:r>
    </w:p>
    <w:p>
      <w:pPr>
        <w:pStyle w:val="2"/>
        <w:rPr>
          <w:rFonts w:hint="eastAsia"/>
        </w:rPr>
      </w:pPr>
    </w:p>
    <w:p>
      <w:pPr>
        <w:pStyle w:val="34"/>
        <w:numPr>
          <w:ilvl w:val="0"/>
          <w:numId w:val="2"/>
        </w:numPr>
        <w:spacing w:line="600" w:lineRule="exact"/>
        <w:ind w:firstLineChars="0"/>
        <w:outlineLvl w:val="1"/>
        <w:rPr>
          <w:rStyle w:val="24"/>
          <w:rFonts w:ascii="黑体" w:eastAsia="黑体" w:cs="Times New Roman"/>
        </w:rPr>
      </w:pPr>
      <w:bookmarkStart w:id="29" w:name="_Toc15396604"/>
      <w:bookmarkStart w:id="30" w:name="_Toc83062170"/>
      <w:bookmarkStart w:id="31" w:name="_Toc15377206"/>
      <w:bookmarkStart w:id="32" w:name="_Toc11160"/>
      <w:r>
        <w:rPr>
          <w:rFonts w:hint="eastAsia" w:ascii="黑体" w:eastAsia="黑体" w:cs="黑体"/>
          <w:b/>
          <w:bCs/>
          <w:color w:val="000000"/>
          <w:sz w:val="32"/>
          <w:szCs w:val="32"/>
        </w:rPr>
        <w:t>收</w:t>
      </w:r>
      <w:r>
        <w:rPr>
          <w:rStyle w:val="24"/>
          <w:rFonts w:hint="eastAsia" w:ascii="黑体" w:eastAsia="黑体" w:cs="黑体"/>
        </w:rPr>
        <w:t>入决算情况说明</w:t>
      </w:r>
      <w:bookmarkEnd w:id="29"/>
      <w:bookmarkEnd w:id="30"/>
      <w:bookmarkEnd w:id="31"/>
      <w:bookmarkEnd w:id="32"/>
    </w:p>
    <w:p>
      <w:pPr>
        <w:rPr>
          <w:rStyle w:val="24"/>
          <w:rFonts w:ascii="黑体" w:eastAsia="黑体" w:cs="Times New Roman"/>
          <w:b w:val="0"/>
          <w:bCs w:val="0"/>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sz w:val="32"/>
          <w:szCs w:val="32"/>
        </w:rPr>
        <w:t>202</w:t>
      </w:r>
      <w:r>
        <w:rPr>
          <w:rFonts w:hint="eastAsia" w:ascii="仿宋_GB2312" w:hAnsi="仿宋_GB2312" w:eastAsia="仿宋_GB2312" w:cs="仿宋_GB2312"/>
          <w:b w:val="0"/>
          <w:sz w:val="32"/>
          <w:szCs w:val="32"/>
          <w:lang w:val="en-US" w:eastAsia="zh-CN"/>
        </w:rPr>
        <w:t>4</w:t>
      </w:r>
      <w:r>
        <w:rPr>
          <w:rFonts w:hint="eastAsia" w:ascii="仿宋_GB2312" w:hAnsi="仿宋_GB2312" w:eastAsia="仿宋_GB2312" w:cs="仿宋_GB2312"/>
          <w:b w:val="0"/>
          <w:sz w:val="32"/>
          <w:szCs w:val="32"/>
        </w:rPr>
        <w:t>年度本年收入合计</w:t>
      </w:r>
      <w:r>
        <w:rPr>
          <w:rFonts w:hint="eastAsia" w:ascii="仿宋_GB2312" w:hAnsi="仿宋_GB2312" w:eastAsia="仿宋_GB2312" w:cs="仿宋_GB2312"/>
          <w:b/>
          <w:sz w:val="32"/>
          <w:szCs w:val="32"/>
          <w:lang w:val="en-US" w:eastAsia="zh-CN"/>
        </w:rPr>
        <w:t>440.00</w:t>
      </w:r>
      <w:r>
        <w:rPr>
          <w:rFonts w:hint="eastAsia" w:ascii="仿宋_GB2312" w:hAnsi="仿宋_GB2312" w:eastAsia="仿宋_GB2312" w:cs="仿宋_GB2312"/>
          <w:b w:val="0"/>
          <w:sz w:val="32"/>
          <w:szCs w:val="32"/>
        </w:rPr>
        <w:t>万元，其中：一般公共预算财政拨款收入</w:t>
      </w:r>
      <w:r>
        <w:rPr>
          <w:rFonts w:hint="eastAsia" w:ascii="仿宋_GB2312" w:hAnsi="仿宋_GB2312" w:eastAsia="仿宋_GB2312" w:cs="仿宋_GB2312"/>
          <w:b/>
          <w:sz w:val="32"/>
          <w:szCs w:val="32"/>
          <w:lang w:val="en-US" w:eastAsia="zh-CN"/>
        </w:rPr>
        <w:t>440.00</w:t>
      </w:r>
      <w:r>
        <w:rPr>
          <w:rFonts w:hint="eastAsia" w:ascii="仿宋_GB2312" w:hAnsi="仿宋_GB2312" w:eastAsia="仿宋_GB2312" w:cs="仿宋_GB2312"/>
          <w:b w:val="0"/>
          <w:sz w:val="32"/>
          <w:szCs w:val="32"/>
        </w:rPr>
        <w:t>万元，占</w:t>
      </w:r>
      <w:r>
        <w:rPr>
          <w:rFonts w:hint="eastAsia" w:ascii="仿宋_GB2312" w:hAnsi="仿宋_GB2312" w:eastAsia="仿宋_GB2312" w:cs="仿宋_GB2312"/>
          <w:b w:val="0"/>
          <w:sz w:val="32"/>
          <w:szCs w:val="32"/>
          <w:lang w:val="en-US" w:eastAsia="zh-CN"/>
        </w:rPr>
        <w:t>100</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w:t>
      </w:r>
    </w:p>
    <w:p>
      <w:pPr>
        <w:spacing w:line="360" w:lineRule="auto"/>
        <w:ind w:firstLine="640" w:firstLineChars="200"/>
        <w:rPr>
          <w:rFonts w:ascii="仿宋_GB2312" w:eastAsia="仿宋_GB2312" w:cs="仿宋_GB2312"/>
          <w:color w:val="000000"/>
          <w:sz w:val="32"/>
          <w:szCs w:val="32"/>
        </w:rPr>
      </w:pPr>
    </w:p>
    <w:p>
      <w:pPr>
        <w:pStyle w:val="17"/>
        <w:ind w:left="420" w:firstLine="420"/>
      </w:pPr>
    </w:p>
    <w:p>
      <w:pPr>
        <w:pStyle w:val="17"/>
        <w:ind w:left="0" w:leftChars="0" w:firstLine="0" w:firstLineChars="0"/>
      </w:pPr>
      <w:r>
        <w:drawing>
          <wp:inline distT="0" distB="0" distL="114300" distR="114300">
            <wp:extent cx="5479415" cy="5212080"/>
            <wp:effectExtent l="4445" t="4445" r="21590" b="22225"/>
            <wp:docPr id="8" name="图表 11" descr="7b0a202020202263686172745265734964223a202232303437353133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6"/>
        <w:spacing w:before="93" w:beforeLines="0"/>
        <w:ind w:firstLine="1920" w:firstLineChars="600"/>
        <w:rPr>
          <w:rFonts w:ascii="仿宋" w:eastAsia="仿宋" w:cs="仿宋"/>
          <w:sz w:val="32"/>
          <w:szCs w:val="32"/>
        </w:rPr>
      </w:pPr>
      <w:r>
        <w:rPr>
          <w:rFonts w:hint="eastAsia" w:ascii="仿宋" w:eastAsia="仿宋" w:cs="仿宋"/>
          <w:sz w:val="32"/>
          <w:szCs w:val="32"/>
        </w:rPr>
        <w:t>（图</w:t>
      </w:r>
      <w:r>
        <w:rPr>
          <w:rFonts w:ascii="仿宋" w:eastAsia="仿宋" w:cs="仿宋"/>
          <w:sz w:val="32"/>
          <w:szCs w:val="32"/>
        </w:rPr>
        <w:t>2</w:t>
      </w:r>
      <w:r>
        <w:rPr>
          <w:rFonts w:hint="eastAsia" w:ascii="仿宋" w:eastAsia="仿宋" w:cs="仿宋"/>
          <w:sz w:val="32"/>
          <w:szCs w:val="32"/>
        </w:rPr>
        <w:t>：收入决算结构图）</w:t>
      </w:r>
    </w:p>
    <w:p>
      <w:pPr>
        <w:pStyle w:val="6"/>
        <w:spacing w:before="93" w:beforeLines="0"/>
        <w:rPr>
          <w:rFonts w:ascii="仿宋" w:eastAsia="仿宋" w:cs="仿宋"/>
          <w:sz w:val="32"/>
          <w:szCs w:val="32"/>
        </w:rPr>
      </w:pPr>
    </w:p>
    <w:p>
      <w:pPr>
        <w:pStyle w:val="34"/>
        <w:numPr>
          <w:ilvl w:val="0"/>
          <w:numId w:val="2"/>
        </w:numPr>
        <w:spacing w:line="600" w:lineRule="exact"/>
        <w:ind w:firstLineChars="0"/>
        <w:outlineLvl w:val="1"/>
        <w:rPr>
          <w:rStyle w:val="24"/>
          <w:rFonts w:ascii="黑体" w:eastAsia="黑体" w:cs="Times New Roman"/>
        </w:rPr>
      </w:pPr>
      <w:bookmarkStart w:id="33" w:name="_Toc15377207"/>
      <w:bookmarkStart w:id="34" w:name="_Toc83062171"/>
      <w:bookmarkStart w:id="35" w:name="_Toc15396605"/>
      <w:bookmarkStart w:id="36" w:name="_Toc17830"/>
      <w:r>
        <w:rPr>
          <w:rFonts w:hint="eastAsia" w:ascii="黑体" w:eastAsia="黑体" w:cs="黑体"/>
          <w:b/>
          <w:bCs/>
          <w:color w:val="000000"/>
          <w:sz w:val="32"/>
          <w:szCs w:val="32"/>
        </w:rPr>
        <w:t>支</w:t>
      </w:r>
      <w:r>
        <w:rPr>
          <w:rStyle w:val="24"/>
          <w:rFonts w:hint="eastAsia" w:ascii="黑体" w:eastAsia="黑体" w:cs="黑体"/>
        </w:rPr>
        <w:t>出决算情况说明</w:t>
      </w:r>
      <w:bookmarkEnd w:id="33"/>
      <w:bookmarkEnd w:id="34"/>
      <w:bookmarkEnd w:id="35"/>
      <w:bookmarkEnd w:id="36"/>
    </w:p>
    <w:p>
      <w:pPr>
        <w:rPr>
          <w:rStyle w:val="24"/>
          <w:rFonts w:ascii="黑体" w:eastAsia="黑体" w:cs="Times New Roman"/>
          <w:b w:val="0"/>
          <w:bCs w:val="0"/>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sz w:val="32"/>
          <w:szCs w:val="32"/>
        </w:rPr>
        <w:t>202</w:t>
      </w:r>
      <w:r>
        <w:rPr>
          <w:rFonts w:hint="eastAsia" w:ascii="仿宋_GB2312" w:hAnsi="仿宋_GB2312" w:eastAsia="仿宋_GB2312" w:cs="仿宋_GB2312"/>
          <w:b w:val="0"/>
          <w:sz w:val="32"/>
          <w:szCs w:val="32"/>
          <w:lang w:val="en-US" w:eastAsia="zh-CN"/>
        </w:rPr>
        <w:t>4</w:t>
      </w:r>
      <w:r>
        <w:rPr>
          <w:rFonts w:hint="eastAsia" w:ascii="仿宋_GB2312" w:hAnsi="仿宋_GB2312" w:eastAsia="仿宋_GB2312" w:cs="仿宋_GB2312"/>
          <w:b w:val="0"/>
          <w:sz w:val="32"/>
          <w:szCs w:val="32"/>
        </w:rPr>
        <w:t>年度本年支出合计</w:t>
      </w:r>
      <w:r>
        <w:rPr>
          <w:rFonts w:hint="eastAsia" w:ascii="仿宋_GB2312" w:hAnsi="仿宋_GB2312" w:eastAsia="仿宋_GB2312" w:cs="仿宋_GB2312"/>
          <w:b/>
          <w:sz w:val="32"/>
          <w:szCs w:val="32"/>
          <w:lang w:val="en-US" w:eastAsia="zh-CN"/>
        </w:rPr>
        <w:t>440.00</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b/>
          <w:bCs/>
          <w:sz w:val="32"/>
          <w:szCs w:val="32"/>
          <w:lang w:val="en-US" w:eastAsia="zh-CN"/>
        </w:rPr>
        <w:t>277.11</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lang w:val="en-US" w:eastAsia="zh-CN"/>
        </w:rPr>
        <w:t>62.97</w:t>
      </w:r>
      <w:r>
        <w:rPr>
          <w:rFonts w:hint="eastAsia" w:ascii="仿宋_GB2312" w:hAnsi="仿宋_GB2312" w:eastAsia="仿宋_GB2312" w:cs="仿宋_GB2312"/>
          <w:sz w:val="32"/>
          <w:szCs w:val="32"/>
        </w:rPr>
        <w:t>%；项目支出</w:t>
      </w:r>
      <w:r>
        <w:rPr>
          <w:rFonts w:hint="eastAsia" w:ascii="仿宋_GB2312" w:hAnsi="仿宋_GB2312" w:eastAsia="仿宋_GB2312" w:cs="仿宋_GB2312"/>
          <w:b/>
          <w:sz w:val="32"/>
          <w:szCs w:val="32"/>
          <w:lang w:val="en-US" w:eastAsia="zh-CN"/>
        </w:rPr>
        <w:t>162.89</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lang w:val="en-US" w:eastAsia="zh-CN"/>
        </w:rPr>
        <w:t>37.03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pStyle w:val="17"/>
        <w:spacing w:after="0" w:line="360" w:lineRule="auto"/>
        <w:ind w:left="0" w:leftChars="0" w:firstLine="0" w:firstLineChars="0"/>
      </w:pPr>
    </w:p>
    <w:p>
      <w:pPr>
        <w:rPr>
          <w:rFonts w:ascii="仿宋_GB2312" w:eastAsia="仿宋_GB2312" w:cs="仿宋_GB2312"/>
          <w:color w:val="000000"/>
          <w:sz w:val="32"/>
          <w:szCs w:val="32"/>
        </w:rPr>
      </w:pPr>
      <w:r>
        <w:drawing>
          <wp:inline distT="0" distB="0" distL="114300" distR="114300">
            <wp:extent cx="5272405" cy="4403725"/>
            <wp:effectExtent l="4445" t="4445" r="19050" b="11430"/>
            <wp:docPr id="11" name="图表 10" descr="7b0a202020202263686172745265734964223a202232303437363039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6"/>
        <w:spacing w:before="93" w:beforeLines="0"/>
        <w:ind w:firstLine="1600" w:firstLineChars="500"/>
        <w:jc w:val="both"/>
        <w:rPr>
          <w:rFonts w:hint="eastAsia" w:ascii="仿宋" w:eastAsia="仿宋" w:cs="仿宋"/>
          <w:sz w:val="32"/>
          <w:szCs w:val="32"/>
        </w:rPr>
      </w:pPr>
      <w:r>
        <w:rPr>
          <w:rFonts w:hint="eastAsia" w:ascii="仿宋" w:eastAsia="仿宋" w:cs="仿宋"/>
          <w:sz w:val="32"/>
          <w:szCs w:val="32"/>
        </w:rPr>
        <w:t>（图</w:t>
      </w:r>
      <w:r>
        <w:rPr>
          <w:rFonts w:ascii="仿宋" w:eastAsia="仿宋" w:cs="仿宋"/>
          <w:sz w:val="32"/>
          <w:szCs w:val="32"/>
        </w:rPr>
        <w:t>3</w:t>
      </w:r>
      <w:r>
        <w:rPr>
          <w:rFonts w:hint="eastAsia" w:ascii="仿宋" w:eastAsia="仿宋" w:cs="仿宋"/>
          <w:sz w:val="32"/>
          <w:szCs w:val="32"/>
        </w:rPr>
        <w:t>：支出决算结构图）</w:t>
      </w:r>
    </w:p>
    <w:p>
      <w:pPr>
        <w:pStyle w:val="6"/>
        <w:spacing w:before="93" w:beforeLines="0"/>
        <w:ind w:firstLine="1600" w:firstLineChars="500"/>
        <w:jc w:val="both"/>
        <w:rPr>
          <w:rFonts w:hint="eastAsia" w:ascii="仿宋" w:eastAsia="仿宋" w:cs="仿宋"/>
          <w:sz w:val="32"/>
          <w:szCs w:val="32"/>
        </w:rPr>
      </w:pPr>
    </w:p>
    <w:p>
      <w:pPr>
        <w:numPr>
          <w:ilvl w:val="0"/>
          <w:numId w:val="2"/>
        </w:numPr>
        <w:spacing w:line="600" w:lineRule="exact"/>
        <w:outlineLvl w:val="1"/>
        <w:rPr>
          <w:rStyle w:val="24"/>
          <w:rFonts w:ascii="黑体" w:eastAsia="黑体" w:cs="黑体"/>
        </w:rPr>
      </w:pPr>
      <w:bookmarkStart w:id="37" w:name="_Toc15396606"/>
      <w:bookmarkStart w:id="38" w:name="_Toc10685"/>
      <w:bookmarkStart w:id="39" w:name="_Toc83062172"/>
      <w:bookmarkStart w:id="40" w:name="_Toc15377208"/>
      <w:r>
        <w:rPr>
          <w:rFonts w:hint="eastAsia" w:ascii="黑体" w:eastAsia="黑体" w:cs="黑体"/>
          <w:b/>
          <w:bCs/>
          <w:color w:val="000000"/>
          <w:sz w:val="32"/>
          <w:szCs w:val="32"/>
        </w:rPr>
        <w:t>财</w:t>
      </w:r>
      <w:r>
        <w:rPr>
          <w:rStyle w:val="24"/>
          <w:rFonts w:hint="eastAsia" w:ascii="黑体" w:eastAsia="黑体" w:cs="黑体"/>
        </w:rPr>
        <w:t>政拨款收入支出决算总体情况说明</w:t>
      </w:r>
      <w:bookmarkEnd w:id="37"/>
      <w:bookmarkEnd w:id="38"/>
      <w:bookmarkEnd w:id="39"/>
      <w:bookmarkEnd w:id="40"/>
    </w:p>
    <w:p>
      <w:pPr>
        <w:pStyle w:val="17"/>
        <w:ind w:left="640" w:leftChars="0" w:firstLine="0" w:firstLineChars="0"/>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000000" w:themeColor="text1"/>
          <w:sz w:val="32"/>
          <w:szCs w:val="32"/>
          <w14:textFill>
            <w14:solidFill>
              <w14:schemeClr w14:val="tx1"/>
            </w14:solidFill>
          </w14:textFill>
        </w:rPr>
        <w:t>202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4年度</w:t>
      </w:r>
      <w:r>
        <w:rPr>
          <w:rFonts w:hint="eastAsia" w:ascii="仿宋_GB2312" w:hAnsi="仿宋_GB2312" w:eastAsia="仿宋_GB2312" w:cs="仿宋_GB2312"/>
          <w:bCs w:val="0"/>
          <w:color w:val="000000" w:themeColor="text1"/>
          <w:sz w:val="32"/>
          <w:szCs w:val="32"/>
          <w14:textFill>
            <w14:solidFill>
              <w14:schemeClr w14:val="tx1"/>
            </w14:solidFill>
          </w14:textFill>
        </w:rPr>
        <w:t>财政拨款收、支总计</w:t>
      </w:r>
      <w:r>
        <w:rPr>
          <w:rFonts w:hint="eastAsia" w:ascii="仿宋" w:hAnsi="仿宋" w:eastAsia="仿宋"/>
          <w:b/>
          <w:sz w:val="32"/>
          <w:szCs w:val="32"/>
          <w:lang w:val="en-US" w:eastAsia="zh-CN"/>
        </w:rPr>
        <w:t>440.00</w:t>
      </w:r>
      <w:r>
        <w:rPr>
          <w:rFonts w:hint="eastAsia" w:ascii="仿宋_GB2312" w:hAnsi="仿宋_GB2312" w:eastAsia="仿宋_GB2312" w:cs="仿宋_GB2312"/>
          <w:bCs w:val="0"/>
          <w:color w:val="000000" w:themeColor="text1"/>
          <w:sz w:val="32"/>
          <w:szCs w:val="32"/>
          <w14:textFill>
            <w14:solidFill>
              <w14:schemeClr w14:val="tx1"/>
            </w14:solidFill>
          </w14:textFill>
        </w:rPr>
        <w:t>万元。与202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Cs w:val="0"/>
          <w:color w:val="000000" w:themeColor="text1"/>
          <w:sz w:val="32"/>
          <w:szCs w:val="32"/>
          <w14:textFill>
            <w14:solidFill>
              <w14:schemeClr w14:val="tx1"/>
            </w14:solidFill>
          </w14:textFill>
        </w:rPr>
        <w:t>年</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度</w:t>
      </w:r>
      <w:r>
        <w:rPr>
          <w:rFonts w:hint="eastAsia" w:ascii="仿宋_GB2312" w:hAnsi="仿宋_GB2312" w:eastAsia="仿宋_GB2312" w:cs="仿宋_GB2312"/>
          <w:bCs w:val="0"/>
          <w:color w:val="000000" w:themeColor="text1"/>
          <w:sz w:val="32"/>
          <w:szCs w:val="32"/>
          <w14:textFill>
            <w14:solidFill>
              <w14:schemeClr w14:val="tx1"/>
            </w14:solidFill>
          </w14:textFill>
        </w:rPr>
        <w:t>相比，</w:t>
      </w:r>
      <w:r>
        <w:rPr>
          <w:rFonts w:hint="eastAsia" w:ascii="仿宋_GB2312" w:hAnsi="仿宋_GB2312" w:eastAsia="仿宋_GB2312" w:cs="仿宋_GB2312"/>
          <w:bCs w:val="0"/>
          <w:color w:val="000000" w:themeColor="text1"/>
          <w:sz w:val="32"/>
          <w:szCs w:val="32"/>
          <w:shd w:val="clear" w:color="auto" w:fill="FFFFFF"/>
          <w14:textFill>
            <w14:solidFill>
              <w14:schemeClr w14:val="tx1"/>
            </w14:solidFill>
          </w14:textFill>
        </w:rPr>
        <w:t>财政拨款收、支总计各</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b/>
          <w:bCs/>
          <w:sz w:val="32"/>
          <w:szCs w:val="32"/>
          <w:lang w:val="en-US" w:eastAsia="zh-CN"/>
        </w:rPr>
        <w:t>140.61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增长</w:t>
      </w:r>
      <w:r>
        <w:rPr>
          <w:rFonts w:hint="eastAsia" w:ascii="仿宋_GB2312" w:hAnsi="仿宋_GB2312" w:eastAsia="仿宋_GB2312" w:cs="仿宋_GB2312"/>
          <w:b/>
          <w:bCs/>
          <w:sz w:val="32"/>
          <w:szCs w:val="32"/>
          <w:lang w:val="en-US" w:eastAsia="zh-CN"/>
        </w:rPr>
        <w:t>46.97</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。主要原因是202</w:t>
      </w:r>
      <w:r>
        <w:rPr>
          <w:rFonts w:hint="eastAsia" w:ascii="仿宋_GB2312" w:hAnsi="仿宋_GB2312" w:eastAsia="仿宋_GB2312" w:cs="仿宋_GB2312"/>
          <w:sz w:val="32"/>
          <w:szCs w:val="32"/>
          <w:lang w:val="en-US" w:eastAsia="zh-CN"/>
        </w:rPr>
        <w:t>4年度</w:t>
      </w:r>
      <w:r>
        <w:rPr>
          <w:rFonts w:hint="eastAsia" w:ascii="仿宋_GB2312" w:hAnsi="仿宋_GB2312" w:eastAsia="仿宋_GB2312" w:cs="仿宋_GB2312"/>
          <w:sz w:val="32"/>
          <w:szCs w:val="32"/>
        </w:rPr>
        <w:t>我单位</w:t>
      </w:r>
      <w:r>
        <w:rPr>
          <w:rFonts w:hint="eastAsia" w:ascii="仿宋_GB2312" w:hAnsi="仿宋_GB2312" w:eastAsia="仿宋_GB2312" w:cs="仿宋_GB2312"/>
          <w:sz w:val="32"/>
          <w:szCs w:val="32"/>
          <w:lang w:val="en-US" w:eastAsia="zh-CN"/>
        </w:rPr>
        <w:t>项目经费比2023年度有所大幅增加</w:t>
      </w:r>
      <w:r>
        <w:rPr>
          <w:rFonts w:hint="eastAsia" w:ascii="仿宋_GB2312" w:hAnsi="仿宋_GB2312" w:eastAsia="仿宋_GB2312" w:cs="仿宋_GB2312"/>
          <w:sz w:val="32"/>
          <w:szCs w:val="32"/>
        </w:rPr>
        <w:t>，所以收、支总计比202</w:t>
      </w:r>
      <w:r>
        <w:rPr>
          <w:rFonts w:hint="eastAsia" w:ascii="仿宋_GB2312" w:hAnsi="仿宋_GB2312" w:eastAsia="仿宋_GB2312" w:cs="仿宋_GB2312"/>
          <w:sz w:val="32"/>
          <w:szCs w:val="32"/>
          <w:lang w:val="en-US" w:eastAsia="zh-CN"/>
        </w:rPr>
        <w:t>3年度增长</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rPr>
      </w:pPr>
    </w:p>
    <w:p>
      <w:pPr>
        <w:spacing w:line="240" w:lineRule="auto"/>
        <w:ind w:firstLine="0" w:firstLineChars="0"/>
        <w:rPr>
          <w:rFonts w:hint="eastAsia" w:ascii="仿宋" w:eastAsia="仿宋" w:cs="仿宋"/>
          <w:sz w:val="32"/>
          <w:szCs w:val="32"/>
        </w:rPr>
      </w:pPr>
      <w:r>
        <w:drawing>
          <wp:inline distT="0" distB="0" distL="114300" distR="114300">
            <wp:extent cx="5413375" cy="4686300"/>
            <wp:effectExtent l="6350" t="6350" r="9525" b="12700"/>
            <wp:docPr id="19"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41" w:name="_Toc15396607"/>
      <w:bookmarkStart w:id="42" w:name="_Toc15377209"/>
    </w:p>
    <w:p>
      <w:pPr>
        <w:pStyle w:val="6"/>
        <w:spacing w:before="93" w:beforeLines="0"/>
        <w:ind w:firstLine="960" w:firstLineChars="300"/>
        <w:jc w:val="both"/>
        <w:rPr>
          <w:rFonts w:hint="eastAsia" w:ascii="仿宋" w:eastAsia="仿宋" w:cs="仿宋"/>
          <w:sz w:val="32"/>
          <w:szCs w:val="32"/>
        </w:rPr>
      </w:pPr>
      <w:r>
        <w:rPr>
          <w:rFonts w:hint="eastAsia" w:ascii="仿宋" w:eastAsia="仿宋" w:cs="仿宋"/>
          <w:sz w:val="32"/>
          <w:szCs w:val="32"/>
        </w:rPr>
        <w:t>（图</w:t>
      </w:r>
      <w:r>
        <w:rPr>
          <w:rFonts w:ascii="仿宋" w:eastAsia="仿宋" w:cs="仿宋"/>
          <w:sz w:val="32"/>
          <w:szCs w:val="32"/>
        </w:rPr>
        <w:t>4</w:t>
      </w:r>
      <w:r>
        <w:rPr>
          <w:rFonts w:hint="eastAsia" w:ascii="仿宋" w:eastAsia="仿宋" w:cs="仿宋"/>
          <w:sz w:val="32"/>
          <w:szCs w:val="32"/>
        </w:rPr>
        <w:t>：财政拨款收、支决算总计变动情况）</w:t>
      </w:r>
    </w:p>
    <w:p>
      <w:pPr>
        <w:pStyle w:val="6"/>
        <w:spacing w:before="93" w:beforeLines="0"/>
        <w:jc w:val="both"/>
        <w:rPr>
          <w:rFonts w:hint="eastAsia" w:ascii="仿宋" w:eastAsia="仿宋" w:cs="仿宋"/>
          <w:sz w:val="32"/>
          <w:szCs w:val="32"/>
        </w:rPr>
      </w:pPr>
    </w:p>
    <w:p>
      <w:pPr>
        <w:numPr>
          <w:ilvl w:val="0"/>
          <w:numId w:val="2"/>
        </w:numPr>
        <w:spacing w:line="600" w:lineRule="exact"/>
        <w:outlineLvl w:val="1"/>
        <w:rPr>
          <w:rStyle w:val="24"/>
          <w:rFonts w:ascii="黑体" w:eastAsia="黑体" w:cs="黑体"/>
        </w:rPr>
      </w:pPr>
      <w:bookmarkStart w:id="43" w:name="_Toc83062173"/>
      <w:bookmarkStart w:id="44" w:name="_Toc15648"/>
      <w:r>
        <w:rPr>
          <w:rFonts w:hint="eastAsia" w:ascii="黑体" w:eastAsia="黑体" w:cs="黑体"/>
          <w:b/>
          <w:bCs/>
          <w:color w:val="000000"/>
          <w:sz w:val="32"/>
          <w:szCs w:val="32"/>
        </w:rPr>
        <w:t>一</w:t>
      </w:r>
      <w:r>
        <w:rPr>
          <w:rStyle w:val="24"/>
          <w:rFonts w:hint="eastAsia" w:ascii="黑体" w:eastAsia="黑体" w:cs="黑体"/>
        </w:rPr>
        <w:t>般公共预算财政拨款支出决算情况说明</w:t>
      </w:r>
      <w:bookmarkEnd w:id="41"/>
      <w:bookmarkEnd w:id="42"/>
      <w:bookmarkEnd w:id="43"/>
      <w:bookmarkEnd w:id="44"/>
    </w:p>
    <w:p>
      <w:pPr>
        <w:pStyle w:val="17"/>
        <w:ind w:left="640" w:leftChars="0" w:firstLine="0" w:firstLineChars="0"/>
      </w:pPr>
    </w:p>
    <w:p>
      <w:pPr>
        <w:spacing w:line="600" w:lineRule="exact"/>
        <w:ind w:firstLine="643" w:firstLineChars="200"/>
        <w:outlineLvl w:val="2"/>
        <w:rPr>
          <w:rFonts w:ascii="仿宋" w:eastAsia="仿宋" w:cs="仿宋"/>
          <w:b/>
          <w:bCs/>
          <w:color w:val="000000"/>
          <w:sz w:val="32"/>
          <w:szCs w:val="32"/>
        </w:rPr>
      </w:pPr>
      <w:bookmarkStart w:id="45" w:name="_Toc178"/>
      <w:bookmarkStart w:id="46" w:name="_Toc83062174"/>
      <w:bookmarkStart w:id="47" w:name="_Toc15377216"/>
      <w:r>
        <w:rPr>
          <w:rFonts w:hint="eastAsia" w:ascii="仿宋" w:eastAsia="仿宋" w:cs="仿宋"/>
          <w:b/>
          <w:bCs/>
          <w:color w:val="000000"/>
          <w:sz w:val="32"/>
          <w:szCs w:val="32"/>
        </w:rPr>
        <w:t>（一）一般公共预算财政拨款支出决算总体情况</w:t>
      </w:r>
      <w:bookmarkEnd w:id="45"/>
      <w:bookmarkEnd w:id="46"/>
    </w:p>
    <w:p>
      <w:pPr>
        <w:pStyle w:val="17"/>
        <w:ind w:left="840" w:leftChars="400" w:firstLine="0" w:firstLineChars="0"/>
      </w:pPr>
    </w:p>
    <w:p>
      <w:pPr>
        <w:spacing w:line="360" w:lineRule="auto"/>
        <w:ind w:firstLine="640" w:firstLineChars="200"/>
        <w:rPr>
          <w:rFonts w:hint="default" w:ascii="仿宋_GB2312" w:hAnsi="仿宋_GB2312" w:eastAsia="仿宋_GB2312" w:cs="仿宋_GB2312"/>
          <w:bCs w:val="0"/>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年度</w:t>
      </w:r>
      <w:r>
        <w:rPr>
          <w:rFonts w:hint="eastAsia" w:ascii="仿宋_GB2312" w:eastAsia="仿宋_GB2312" w:cs="仿宋_GB2312"/>
          <w:color w:val="000000"/>
          <w:sz w:val="32"/>
          <w:szCs w:val="32"/>
        </w:rPr>
        <w:t>一般公共预算财政拨款支出</w:t>
      </w:r>
      <w:r>
        <w:rPr>
          <w:rFonts w:hint="eastAsia" w:ascii="仿宋" w:hAnsi="仿宋" w:eastAsia="仿宋"/>
          <w:b/>
          <w:sz w:val="32"/>
          <w:szCs w:val="32"/>
          <w:lang w:val="en-US" w:eastAsia="zh-CN"/>
        </w:rPr>
        <w:t>440.00</w:t>
      </w:r>
      <w:r>
        <w:rPr>
          <w:rFonts w:hint="eastAsia" w:ascii="仿宋_GB2312" w:eastAsia="仿宋_GB2312" w:cs="仿宋_GB2312"/>
          <w:color w:val="000000"/>
          <w:sz w:val="32"/>
          <w:szCs w:val="32"/>
        </w:rPr>
        <w:t>万元，占本年支出合计的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s="仿宋_GB2312"/>
          <w:kern w:val="0"/>
          <w:sz w:val="32"/>
          <w:szCs w:val="32"/>
          <w:shd w:val="clear" w:color="auto" w:fill="FFFFFF"/>
        </w:rPr>
        <w:t>与202</w:t>
      </w:r>
      <w:r>
        <w:rPr>
          <w:rFonts w:hint="eastAsia" w:asci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年度</w:t>
      </w:r>
      <w:r>
        <w:rPr>
          <w:rFonts w:hint="eastAsia" w:ascii="仿宋_GB2312" w:eastAsia="仿宋_GB2312" w:cs="仿宋_GB2312"/>
          <w:kern w:val="0"/>
          <w:sz w:val="32"/>
          <w:szCs w:val="32"/>
          <w:shd w:val="clear" w:color="auto" w:fill="FFFFFF"/>
        </w:rPr>
        <w:t>相比，一般公共预算财政拨款支出</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b w:val="0"/>
          <w:bCs w:val="0"/>
          <w:sz w:val="32"/>
          <w:szCs w:val="32"/>
          <w:lang w:val="en-US" w:eastAsia="zh-CN"/>
        </w:rPr>
        <w:t>140.61</w:t>
      </w:r>
      <w:r>
        <w:rPr>
          <w:rFonts w:hint="eastAsia" w:ascii="仿宋_GB2312" w:eastAsia="仿宋_GB2312" w:cs="仿宋_GB2312"/>
          <w:sz w:val="32"/>
          <w:szCs w:val="32"/>
          <w:shd w:val="clear" w:color="auto" w:fill="FFFFFF"/>
        </w:rPr>
        <w:t>万元，</w:t>
      </w:r>
      <w:r>
        <w:rPr>
          <w:rFonts w:hint="eastAsia" w:ascii="仿宋_GB2312" w:hAnsi="仿宋_GB2312" w:eastAsia="仿宋_GB2312" w:cs="仿宋_GB2312"/>
          <w:sz w:val="32"/>
          <w:szCs w:val="32"/>
          <w:lang w:val="en-US" w:eastAsia="zh-CN"/>
        </w:rPr>
        <w:t>增长</w:t>
      </w:r>
      <w:r>
        <w:rPr>
          <w:rFonts w:hint="eastAsia" w:ascii="仿宋_GB2312" w:hAnsi="仿宋_GB2312" w:eastAsia="仿宋_GB2312" w:cs="仿宋_GB2312"/>
          <w:b/>
          <w:bCs/>
          <w:sz w:val="32"/>
          <w:szCs w:val="32"/>
          <w:lang w:val="en-US" w:eastAsia="zh-CN"/>
        </w:rPr>
        <w:t>46.97</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w:t>
      </w:r>
      <w:r>
        <w:rPr>
          <w:rFonts w:hint="eastAsia" w:ascii="仿宋_GB2312" w:eastAsia="仿宋_GB2312" w:cs="仿宋_GB2312"/>
          <w:kern w:val="0"/>
          <w:sz w:val="32"/>
          <w:szCs w:val="32"/>
          <w:shd w:val="clear" w:color="auto" w:fill="FFFFFF"/>
        </w:rPr>
        <w:t>。</w:t>
      </w:r>
      <w:r>
        <w:rPr>
          <w:rFonts w:hint="eastAsia" w:ascii="仿宋_GB2312" w:eastAsia="仿宋_GB2312" w:cs="仿宋_GB2312"/>
          <w:sz w:val="32"/>
          <w:szCs w:val="32"/>
        </w:rPr>
        <w:t>主要原因是</w:t>
      </w:r>
      <w:r>
        <w:rPr>
          <w:rFonts w:hint="eastAsia" w:ascii="仿宋_GB2312" w:hAnsi="仿宋_GB2312" w:eastAsia="仿宋_GB2312" w:cs="仿宋_GB2312"/>
          <w:bCs w:val="0"/>
          <w:color w:val="000000" w:themeColor="text1"/>
          <w:sz w:val="32"/>
          <w:szCs w:val="32"/>
          <w14:textFill>
            <w14:solidFill>
              <w14:schemeClr w14:val="tx1"/>
            </w14:solidFill>
          </w14:textFill>
        </w:rPr>
        <w:t>202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4年度财政拨款中项目经费比2023年度增加123.47万元。</w:t>
      </w:r>
    </w:p>
    <w:p>
      <w:pPr>
        <w:pStyle w:val="17"/>
        <w:ind w:left="0" w:leftChars="0" w:firstLine="0" w:firstLineChars="0"/>
      </w:pPr>
      <w:r>
        <w:drawing>
          <wp:inline distT="0" distB="0" distL="114300" distR="114300">
            <wp:extent cx="5478145" cy="4783455"/>
            <wp:effectExtent l="0" t="0" r="8255" b="17145"/>
            <wp:docPr id="13"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6"/>
        <w:spacing w:before="93" w:beforeLines="0"/>
        <w:jc w:val="center"/>
        <w:rPr>
          <w:rFonts w:hint="eastAsia" w:ascii="仿宋" w:eastAsia="仿宋" w:cs="仿宋"/>
          <w:sz w:val="32"/>
          <w:szCs w:val="32"/>
        </w:rPr>
      </w:pPr>
      <w:r>
        <w:rPr>
          <w:rFonts w:hint="eastAsia" w:ascii="仿宋" w:eastAsia="仿宋" w:cs="仿宋"/>
          <w:sz w:val="32"/>
          <w:szCs w:val="32"/>
        </w:rPr>
        <w:t>（图</w:t>
      </w:r>
      <w:r>
        <w:rPr>
          <w:rFonts w:ascii="仿宋" w:eastAsia="仿宋" w:cs="仿宋"/>
          <w:sz w:val="32"/>
          <w:szCs w:val="32"/>
        </w:rPr>
        <w:t>5</w:t>
      </w:r>
      <w:r>
        <w:rPr>
          <w:rFonts w:hint="eastAsia" w:ascii="仿宋" w:eastAsia="仿宋" w:cs="仿宋"/>
          <w:sz w:val="32"/>
          <w:szCs w:val="32"/>
        </w:rPr>
        <w:t>：一般公共预算财政拨款支出决算变动情况）</w:t>
      </w:r>
    </w:p>
    <w:p>
      <w:pPr>
        <w:pStyle w:val="6"/>
        <w:spacing w:before="93" w:beforeLines="0"/>
        <w:jc w:val="center"/>
        <w:rPr>
          <w:rFonts w:hint="eastAsia" w:ascii="仿宋" w:eastAsia="仿宋" w:cs="仿宋"/>
          <w:sz w:val="32"/>
          <w:szCs w:val="32"/>
        </w:rPr>
      </w:pPr>
    </w:p>
    <w:p>
      <w:pPr>
        <w:numPr>
          <w:ilvl w:val="0"/>
          <w:numId w:val="3"/>
        </w:numPr>
        <w:spacing w:line="600" w:lineRule="exact"/>
        <w:ind w:firstLine="321" w:firstLineChars="100"/>
        <w:outlineLvl w:val="2"/>
        <w:rPr>
          <w:rFonts w:ascii="仿宋" w:eastAsia="仿宋" w:cs="Times New Roman"/>
          <w:b/>
          <w:bCs/>
          <w:color w:val="000000"/>
          <w:sz w:val="32"/>
          <w:szCs w:val="32"/>
        </w:rPr>
      </w:pPr>
      <w:bookmarkStart w:id="48" w:name="_Toc83062175"/>
      <w:bookmarkStart w:id="49" w:name="_Toc18109"/>
      <w:bookmarkStart w:id="50" w:name="_Toc15377211"/>
      <w:r>
        <w:rPr>
          <w:rFonts w:hint="eastAsia" w:ascii="仿宋" w:eastAsia="仿宋" w:cs="仿宋"/>
          <w:b/>
          <w:bCs/>
          <w:color w:val="000000"/>
          <w:sz w:val="32"/>
          <w:szCs w:val="32"/>
        </w:rPr>
        <w:t>一般公共预算财政拨款支出决算结构情况</w:t>
      </w:r>
      <w:bookmarkEnd w:id="48"/>
      <w:bookmarkEnd w:id="49"/>
      <w:bookmarkEnd w:id="50"/>
    </w:p>
    <w:p>
      <w:pPr>
        <w:pStyle w:val="17"/>
        <w:ind w:left="420" w:firstLine="420"/>
      </w:pP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年度</w:t>
      </w:r>
      <w:r>
        <w:rPr>
          <w:rFonts w:hint="eastAsia" w:ascii="仿宋_GB2312" w:eastAsia="仿宋_GB2312" w:cs="仿宋_GB2312"/>
          <w:sz w:val="32"/>
          <w:szCs w:val="32"/>
        </w:rPr>
        <w:t>一般公共预算财政拨款支出</w:t>
      </w:r>
      <w:r>
        <w:rPr>
          <w:rFonts w:hint="eastAsia" w:ascii="仿宋" w:hAnsi="仿宋" w:eastAsia="仿宋"/>
          <w:b/>
          <w:sz w:val="32"/>
          <w:szCs w:val="32"/>
          <w:lang w:val="en-US" w:eastAsia="zh-CN"/>
        </w:rPr>
        <w:t>440.00</w:t>
      </w:r>
      <w:r>
        <w:rPr>
          <w:rFonts w:hint="eastAsia" w:ascii="仿宋_GB2312" w:eastAsia="仿宋_GB2312" w:cs="仿宋_GB2312"/>
          <w:sz w:val="32"/>
          <w:szCs w:val="32"/>
        </w:rPr>
        <w:t>万元</w:t>
      </w:r>
      <w:r>
        <w:rPr>
          <w:rFonts w:hint="eastAsia" w:ascii="仿宋_GB2312" w:eastAsia="仿宋_GB2312" w:cs="仿宋_GB2312"/>
          <w:sz w:val="32"/>
          <w:szCs w:val="32"/>
          <w:highlight w:val="none"/>
        </w:rPr>
        <w:t>，主要用于以下方面:</w:t>
      </w:r>
      <w:r>
        <w:rPr>
          <w:rFonts w:hint="eastAsia" w:ascii="仿宋" w:hAnsi="仿宋" w:eastAsia="仿宋"/>
          <w:b/>
          <w:sz w:val="32"/>
          <w:szCs w:val="32"/>
          <w:highlight w:val="none"/>
        </w:rPr>
        <w:t>一般公共服务</w:t>
      </w:r>
      <w:r>
        <w:rPr>
          <w:rFonts w:hint="eastAsia" w:ascii="仿宋" w:hAnsi="仿宋" w:eastAsia="仿宋"/>
          <w:b/>
          <w:bCs/>
          <w:sz w:val="32"/>
          <w:szCs w:val="32"/>
          <w:highlight w:val="none"/>
        </w:rPr>
        <w:t>支出</w:t>
      </w:r>
      <w:r>
        <w:rPr>
          <w:rStyle w:val="20"/>
          <w:rFonts w:hint="eastAsia" w:ascii="仿宋_GB2312" w:eastAsia="仿宋_GB2312" w:cs="仿宋_GB2312"/>
          <w:sz w:val="32"/>
          <w:szCs w:val="32"/>
          <w:highlight w:val="none"/>
        </w:rPr>
        <w:t>（类）</w:t>
      </w:r>
      <w:r>
        <w:rPr>
          <w:rStyle w:val="20"/>
          <w:rFonts w:hint="eastAsia" w:ascii="仿宋_GB2312" w:eastAsia="仿宋_GB2312" w:cs="仿宋_GB2312"/>
          <w:sz w:val="32"/>
          <w:szCs w:val="32"/>
          <w:highlight w:val="none"/>
          <w:lang w:val="en-US" w:eastAsia="zh-CN"/>
        </w:rPr>
        <w:t>274.63</w:t>
      </w:r>
      <w:r>
        <w:rPr>
          <w:rFonts w:hint="eastAsia" w:ascii="仿宋" w:hAnsi="仿宋" w:eastAsia="仿宋"/>
          <w:sz w:val="32"/>
          <w:szCs w:val="32"/>
          <w:highlight w:val="none"/>
        </w:rPr>
        <w:t>万元，占</w:t>
      </w:r>
      <w:r>
        <w:rPr>
          <w:rFonts w:hint="eastAsia" w:ascii="仿宋" w:hAnsi="仿宋" w:eastAsia="仿宋"/>
          <w:sz w:val="32"/>
          <w:szCs w:val="32"/>
          <w:highlight w:val="none"/>
          <w:lang w:val="en-US" w:eastAsia="zh-CN"/>
        </w:rPr>
        <w:t>62.42</w:t>
      </w:r>
      <w:r>
        <w:rPr>
          <w:rFonts w:ascii="仿宋" w:hAnsi="仿宋" w:eastAsia="仿宋"/>
          <w:sz w:val="32"/>
          <w:szCs w:val="32"/>
          <w:highlight w:val="none"/>
        </w:rPr>
        <w:t>%</w:t>
      </w:r>
      <w:r>
        <w:rPr>
          <w:rFonts w:hint="eastAsia" w:ascii="仿宋" w:hAnsi="仿宋" w:eastAsia="仿宋"/>
          <w:sz w:val="32"/>
          <w:szCs w:val="32"/>
          <w:highlight w:val="none"/>
        </w:rPr>
        <w:t>；</w:t>
      </w:r>
      <w:r>
        <w:rPr>
          <w:rFonts w:hint="eastAsia" w:eastAsia="仿宋_GB2312" w:cs="仿宋_GB2312"/>
          <w:b/>
          <w:bCs/>
          <w:sz w:val="32"/>
          <w:szCs w:val="32"/>
          <w:highlight w:val="none"/>
        </w:rPr>
        <w:t>文化旅游体育与传媒支出</w:t>
      </w:r>
      <w:r>
        <w:rPr>
          <w:rStyle w:val="20"/>
          <w:rFonts w:hint="eastAsia" w:ascii="仿宋_GB2312" w:eastAsia="仿宋_GB2312" w:cs="仿宋_GB2312"/>
          <w:b/>
          <w:bCs/>
          <w:sz w:val="32"/>
          <w:szCs w:val="32"/>
          <w:highlight w:val="none"/>
        </w:rPr>
        <w:t>（类）</w:t>
      </w:r>
      <w:r>
        <w:rPr>
          <w:rStyle w:val="20"/>
          <w:rFonts w:hint="eastAsia" w:ascii="仿宋_GB2312" w:eastAsia="仿宋_GB2312" w:cs="仿宋_GB2312"/>
          <w:b/>
          <w:bCs/>
          <w:sz w:val="32"/>
          <w:szCs w:val="32"/>
          <w:highlight w:val="none"/>
          <w:lang w:val="en-US" w:eastAsia="zh-CN"/>
        </w:rPr>
        <w:t>100</w:t>
      </w:r>
      <w:r>
        <w:rPr>
          <w:rStyle w:val="20"/>
          <w:rFonts w:hint="eastAsia" w:ascii="仿宋_GB2312" w:eastAsia="仿宋_GB2312" w:cs="仿宋_GB2312"/>
          <w:b w:val="0"/>
          <w:bCs w:val="0"/>
          <w:sz w:val="32"/>
          <w:szCs w:val="32"/>
          <w:highlight w:val="none"/>
          <w:lang w:val="en-US" w:eastAsia="zh-CN"/>
        </w:rPr>
        <w:t>万元，占22.73%；</w:t>
      </w:r>
      <w:r>
        <w:rPr>
          <w:rStyle w:val="20"/>
          <w:rFonts w:hint="eastAsia" w:ascii="仿宋_GB2312" w:eastAsia="仿宋_GB2312" w:cs="仿宋_GB2312"/>
          <w:sz w:val="32"/>
          <w:szCs w:val="32"/>
          <w:highlight w:val="none"/>
        </w:rPr>
        <w:t>社会</w:t>
      </w:r>
      <w:r>
        <w:rPr>
          <w:rStyle w:val="20"/>
          <w:rFonts w:hint="eastAsia" w:ascii="仿宋_GB2312" w:eastAsia="仿宋_GB2312" w:cs="仿宋_GB2312"/>
          <w:sz w:val="32"/>
          <w:szCs w:val="32"/>
        </w:rPr>
        <w:t>保障和就业（类）</w:t>
      </w:r>
      <w:r>
        <w:rPr>
          <w:rFonts w:hint="eastAsia" w:ascii="仿宋_GB2312" w:eastAsia="仿宋_GB2312" w:cs="仿宋_GB2312"/>
          <w:b/>
          <w:bCs/>
          <w:sz w:val="32"/>
          <w:szCs w:val="32"/>
          <w:lang w:val="en-US" w:eastAsia="zh-CN"/>
        </w:rPr>
        <w:t>35.18</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w:t>
      </w:r>
      <w:r>
        <w:rPr>
          <w:rStyle w:val="20"/>
          <w:rFonts w:hint="eastAsia" w:ascii="仿宋_GB2312" w:eastAsia="仿宋_GB2312" w:cs="仿宋_GB2312"/>
          <w:sz w:val="32"/>
          <w:szCs w:val="32"/>
        </w:rPr>
        <w:t>卫生健康支出（类）</w:t>
      </w:r>
      <w:r>
        <w:rPr>
          <w:rFonts w:hint="eastAsia" w:ascii="仿宋_GB2312" w:eastAsia="仿宋_GB2312" w:cs="仿宋_GB2312"/>
          <w:sz w:val="32"/>
          <w:szCs w:val="32"/>
          <w:lang w:val="en-US" w:eastAsia="zh-CN"/>
        </w:rPr>
        <w:t>12.11</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2.75</w:t>
      </w:r>
      <w:r>
        <w:rPr>
          <w:rFonts w:hint="eastAsia" w:ascii="仿宋_GB2312" w:eastAsia="仿宋_GB2312" w:cs="仿宋_GB2312"/>
          <w:sz w:val="32"/>
          <w:szCs w:val="32"/>
        </w:rPr>
        <w:t>%；</w:t>
      </w:r>
      <w:r>
        <w:rPr>
          <w:rStyle w:val="20"/>
          <w:rFonts w:hint="eastAsia" w:ascii="仿宋_GB2312" w:eastAsia="仿宋_GB2312" w:cs="仿宋_GB2312"/>
          <w:sz w:val="32"/>
          <w:szCs w:val="32"/>
        </w:rPr>
        <w:t>住房保障支出（类）</w:t>
      </w:r>
      <w:r>
        <w:rPr>
          <w:rStyle w:val="20"/>
          <w:rFonts w:hint="eastAsia" w:ascii="仿宋_GB2312" w:eastAsia="仿宋_GB2312" w:cs="仿宋_GB2312"/>
          <w:sz w:val="32"/>
          <w:szCs w:val="32"/>
          <w:lang w:val="en-US" w:eastAsia="zh-CN"/>
        </w:rPr>
        <w:t>18.08</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4.11</w:t>
      </w:r>
      <w:r>
        <w:rPr>
          <w:rFonts w:hint="eastAsia" w:ascii="仿宋_GB2312" w:eastAsia="仿宋_GB2312" w:cs="仿宋_GB2312"/>
          <w:sz w:val="32"/>
          <w:szCs w:val="32"/>
        </w:rPr>
        <w:t>%。</w:t>
      </w:r>
    </w:p>
    <w:p>
      <w:pPr>
        <w:pStyle w:val="6"/>
        <w:spacing w:beforeLines="0"/>
        <w:jc w:val="center"/>
        <w:rPr>
          <w:rFonts w:ascii="仿宋" w:eastAsia="仿宋" w:cs="Times New Roman"/>
          <w:sz w:val="32"/>
          <w:szCs w:val="32"/>
        </w:rPr>
      </w:pPr>
      <w:r>
        <w:drawing>
          <wp:inline distT="0" distB="0" distL="114300" distR="114300">
            <wp:extent cx="5292725" cy="5365750"/>
            <wp:effectExtent l="4445" t="4445" r="17780" b="20955"/>
            <wp:docPr id="12" name="图表 5" descr="7b0a202020202263686172745265734964223a202232303437363039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pStyle w:val="6"/>
        <w:spacing w:before="93" w:beforeLines="0"/>
        <w:jc w:val="center"/>
        <w:rPr>
          <w:rFonts w:hint="eastAsia" w:ascii="仿宋" w:eastAsia="仿宋" w:cs="仿宋"/>
          <w:sz w:val="32"/>
          <w:szCs w:val="32"/>
        </w:rPr>
      </w:pPr>
      <w:r>
        <w:rPr>
          <w:rFonts w:hint="eastAsia" w:ascii="仿宋" w:eastAsia="仿宋" w:cs="仿宋"/>
          <w:sz w:val="32"/>
          <w:szCs w:val="32"/>
        </w:rPr>
        <w:t>（图</w:t>
      </w:r>
      <w:r>
        <w:rPr>
          <w:rFonts w:ascii="仿宋" w:eastAsia="仿宋" w:cs="仿宋"/>
          <w:sz w:val="32"/>
          <w:szCs w:val="32"/>
        </w:rPr>
        <w:t>6</w:t>
      </w:r>
      <w:r>
        <w:rPr>
          <w:rFonts w:hint="eastAsia" w:ascii="仿宋" w:eastAsia="仿宋" w:cs="仿宋"/>
          <w:sz w:val="32"/>
          <w:szCs w:val="32"/>
        </w:rPr>
        <w:t>：一般公共预算财政拨款支出决算结构）</w:t>
      </w:r>
      <w:bookmarkStart w:id="51" w:name="_Toc15377212"/>
    </w:p>
    <w:p>
      <w:pPr>
        <w:pStyle w:val="6"/>
        <w:spacing w:before="93" w:beforeLines="0"/>
        <w:jc w:val="both"/>
        <w:rPr>
          <w:rFonts w:ascii="仿宋" w:eastAsia="仿宋" w:cs="仿宋"/>
          <w:sz w:val="32"/>
          <w:szCs w:val="32"/>
        </w:rPr>
      </w:pPr>
    </w:p>
    <w:p>
      <w:pPr>
        <w:numPr>
          <w:ilvl w:val="0"/>
          <w:numId w:val="3"/>
        </w:numPr>
        <w:spacing w:line="600" w:lineRule="exact"/>
        <w:ind w:firstLine="321" w:firstLineChars="100"/>
        <w:outlineLvl w:val="2"/>
        <w:rPr>
          <w:rFonts w:ascii="仿宋" w:eastAsia="仿宋" w:cs="仿宋"/>
          <w:b/>
          <w:bCs/>
          <w:color w:val="000000"/>
          <w:sz w:val="32"/>
          <w:szCs w:val="32"/>
        </w:rPr>
      </w:pPr>
      <w:bookmarkStart w:id="52" w:name="_Toc25734"/>
      <w:bookmarkStart w:id="53" w:name="_Toc83062176"/>
      <w:r>
        <w:rPr>
          <w:rFonts w:hint="eastAsia" w:ascii="仿宋" w:eastAsia="仿宋" w:cs="仿宋"/>
          <w:b/>
          <w:bCs/>
          <w:color w:val="000000"/>
          <w:sz w:val="32"/>
          <w:szCs w:val="32"/>
        </w:rPr>
        <w:t>一般公共预算财政拨款支出决算具体情况</w:t>
      </w:r>
      <w:bookmarkEnd w:id="51"/>
      <w:bookmarkEnd w:id="52"/>
      <w:bookmarkEnd w:id="53"/>
    </w:p>
    <w:p>
      <w:pPr>
        <w:pStyle w:val="17"/>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Style w:val="20"/>
          <w:rFonts w:hint="eastAsia" w:ascii="仿宋_GB2312" w:hAnsi="仿宋_GB2312" w:eastAsia="仿宋_GB2312" w:cs="仿宋_GB2312"/>
          <w:color w:val="000000"/>
          <w:sz w:val="32"/>
          <w:szCs w:val="32"/>
        </w:rPr>
      </w:pPr>
      <w:bookmarkStart w:id="54" w:name="_Toc15378460"/>
      <w:bookmarkStart w:id="55" w:name="_Toc15377213"/>
      <w:bookmarkStart w:id="56" w:name="_Toc15377444"/>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2024年度</w:t>
      </w:r>
      <w:r>
        <w:rPr>
          <w:rFonts w:hint="eastAsia" w:ascii="仿宋_GB2312" w:hAnsi="仿宋_GB2312" w:eastAsia="仿宋_GB2312" w:cs="仿宋_GB2312"/>
          <w:b/>
          <w:bCs/>
          <w:color w:val="000000"/>
          <w:sz w:val="32"/>
          <w:szCs w:val="32"/>
        </w:rPr>
        <w:t>一般公共预算支出决算数为</w:t>
      </w:r>
      <w:r>
        <w:rPr>
          <w:rFonts w:hint="eastAsia" w:ascii="仿宋_GB2312" w:hAnsi="仿宋_GB2312" w:eastAsia="仿宋_GB2312" w:cs="仿宋_GB2312"/>
          <w:b/>
          <w:sz w:val="32"/>
          <w:szCs w:val="32"/>
          <w:lang w:val="en-US" w:eastAsia="zh-CN"/>
        </w:rPr>
        <w:t>440.00</w:t>
      </w:r>
      <w:r>
        <w:rPr>
          <w:rFonts w:hint="eastAsia" w:ascii="仿宋_GB2312" w:hAnsi="仿宋_GB2312" w:eastAsia="仿宋_GB2312" w:cs="仿宋_GB2312"/>
          <w:b/>
          <w:bCs/>
          <w:color w:val="000000"/>
          <w:sz w:val="32"/>
          <w:szCs w:val="32"/>
        </w:rPr>
        <w:t>万元</w:t>
      </w:r>
      <w:r>
        <w:rPr>
          <w:rFonts w:hint="eastAsia" w:ascii="仿宋_GB2312" w:hAnsi="仿宋_GB2312" w:eastAsia="仿宋_GB2312" w:cs="仿宋_GB2312"/>
          <w:color w:val="000000"/>
          <w:sz w:val="32"/>
          <w:szCs w:val="32"/>
        </w:rPr>
        <w:t>，</w:t>
      </w:r>
      <w:r>
        <w:rPr>
          <w:rStyle w:val="20"/>
          <w:rFonts w:hint="eastAsia" w:ascii="仿宋_GB2312" w:hAnsi="仿宋_GB2312" w:eastAsia="仿宋_GB2312" w:cs="仿宋_GB2312"/>
          <w:color w:val="000000"/>
          <w:sz w:val="32"/>
          <w:szCs w:val="32"/>
        </w:rPr>
        <w:t>完成预算100%。其中：</w:t>
      </w:r>
      <w:bookmarkEnd w:id="54"/>
      <w:bookmarkEnd w:id="55"/>
      <w:bookmarkEnd w:id="56"/>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sz w:val="32"/>
          <w:szCs w:val="32"/>
        </w:rPr>
      </w:pPr>
      <w:r>
        <w:rPr>
          <w:rStyle w:val="20"/>
          <w:rFonts w:hint="eastAsia" w:ascii="仿宋_GB2312" w:hAnsi="仿宋_GB2312" w:eastAsia="仿宋_GB2312" w:cs="仿宋_GB2312"/>
          <w:color w:val="000000"/>
          <w:sz w:val="32"/>
          <w:szCs w:val="32"/>
        </w:rPr>
        <w:t>1.</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val="en-US" w:eastAsia="zh-CN"/>
        </w:rPr>
        <w:t>201</w:t>
      </w:r>
      <w:r>
        <w:rPr>
          <w:rFonts w:hint="eastAsia" w:ascii="仿宋_GB2312" w:hAnsi="仿宋_GB2312" w:eastAsia="仿宋_GB2312" w:cs="仿宋_GB2312"/>
          <w:b/>
          <w:color w:val="000000"/>
          <w:kern w:val="0"/>
          <w:sz w:val="32"/>
          <w:szCs w:val="32"/>
        </w:rPr>
        <w:t>（类）</w:t>
      </w:r>
      <w:r>
        <w:rPr>
          <w:rFonts w:hint="eastAsia" w:ascii="仿宋_GB2312" w:hAnsi="仿宋_GB2312" w:eastAsia="仿宋_GB2312" w:cs="仿宋_GB2312"/>
          <w:b/>
          <w:color w:val="000000"/>
          <w:kern w:val="0"/>
          <w:sz w:val="32"/>
          <w:szCs w:val="32"/>
          <w:lang w:val="en-US" w:eastAsia="zh-CN"/>
        </w:rPr>
        <w:t>29</w:t>
      </w:r>
      <w:r>
        <w:rPr>
          <w:rFonts w:hint="eastAsia" w:ascii="仿宋_GB2312" w:hAnsi="仿宋_GB2312" w:eastAsia="仿宋_GB2312" w:cs="仿宋_GB2312"/>
          <w:b/>
          <w:color w:val="000000"/>
          <w:kern w:val="0"/>
          <w:sz w:val="32"/>
          <w:szCs w:val="32"/>
        </w:rPr>
        <w:t>（款）01（项）:行政运行</w:t>
      </w:r>
      <w:r>
        <w:rPr>
          <w:rFonts w:hint="eastAsia" w:ascii="仿宋_GB2312" w:hAnsi="仿宋_GB2312" w:eastAsia="仿宋_GB2312" w:cs="仿宋_GB2312"/>
          <w:color w:val="000000"/>
          <w:kern w:val="0"/>
          <w:sz w:val="32"/>
          <w:szCs w:val="32"/>
        </w:rPr>
        <w:t>决算数为</w:t>
      </w:r>
      <w:r>
        <w:rPr>
          <w:rFonts w:hint="eastAsia" w:ascii="仿宋_GB2312" w:hAnsi="仿宋_GB2312" w:eastAsia="仿宋_GB2312" w:cs="仿宋_GB2312"/>
          <w:b/>
          <w:bCs/>
          <w:color w:val="000000"/>
          <w:kern w:val="0"/>
          <w:sz w:val="32"/>
          <w:szCs w:val="32"/>
          <w:lang w:val="en-US" w:eastAsia="zh-CN"/>
        </w:rPr>
        <w:t>211.74</w:t>
      </w:r>
      <w:r>
        <w:rPr>
          <w:rFonts w:hint="eastAsia" w:ascii="仿宋_GB2312" w:hAnsi="仿宋_GB2312" w:eastAsia="仿宋_GB2312" w:cs="仿宋_GB2312"/>
          <w:color w:val="000000"/>
          <w:kern w:val="0"/>
          <w:sz w:val="32"/>
          <w:szCs w:val="32"/>
        </w:rPr>
        <w:t>万元，完成预算</w:t>
      </w:r>
      <w:r>
        <w:rPr>
          <w:rFonts w:hint="eastAsia" w:ascii="仿宋_GB2312" w:hAnsi="仿宋_GB2312" w:eastAsia="仿宋_GB2312" w:cs="仿宋_GB2312"/>
          <w:b/>
          <w:bCs/>
          <w:color w:val="000000"/>
          <w:kern w:val="0"/>
          <w:sz w:val="32"/>
          <w:szCs w:val="32"/>
        </w:rPr>
        <w:t>100%</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val="en-US" w:eastAsia="zh-CN"/>
        </w:rPr>
        <w:t>201</w:t>
      </w:r>
      <w:r>
        <w:rPr>
          <w:rFonts w:hint="eastAsia" w:ascii="仿宋_GB2312" w:hAnsi="仿宋_GB2312" w:eastAsia="仿宋_GB2312" w:cs="仿宋_GB2312"/>
          <w:b/>
          <w:color w:val="000000"/>
          <w:kern w:val="0"/>
          <w:sz w:val="32"/>
          <w:szCs w:val="32"/>
        </w:rPr>
        <w:t>（类）</w:t>
      </w:r>
      <w:r>
        <w:rPr>
          <w:rFonts w:hint="eastAsia" w:ascii="仿宋_GB2312" w:hAnsi="仿宋_GB2312" w:eastAsia="仿宋_GB2312" w:cs="仿宋_GB2312"/>
          <w:b/>
          <w:color w:val="000000"/>
          <w:kern w:val="0"/>
          <w:sz w:val="32"/>
          <w:szCs w:val="32"/>
          <w:lang w:val="en-US" w:eastAsia="zh-CN"/>
        </w:rPr>
        <w:t>29</w:t>
      </w:r>
      <w:r>
        <w:rPr>
          <w:rFonts w:hint="eastAsia" w:ascii="仿宋_GB2312" w:hAnsi="仿宋_GB2312" w:eastAsia="仿宋_GB2312" w:cs="仿宋_GB2312"/>
          <w:b/>
          <w:color w:val="000000"/>
          <w:kern w:val="0"/>
          <w:sz w:val="32"/>
          <w:szCs w:val="32"/>
        </w:rPr>
        <w:t>（款）01（项）02（项）:一般行政管理事务</w:t>
      </w:r>
      <w:r>
        <w:rPr>
          <w:rFonts w:hint="eastAsia" w:ascii="仿宋_GB2312" w:hAnsi="仿宋_GB2312" w:eastAsia="仿宋_GB2312" w:cs="仿宋_GB2312"/>
          <w:color w:val="000000"/>
          <w:kern w:val="0"/>
          <w:sz w:val="32"/>
          <w:szCs w:val="32"/>
        </w:rPr>
        <w:t>决算数为</w:t>
      </w:r>
      <w:r>
        <w:rPr>
          <w:rFonts w:hint="eastAsia" w:ascii="仿宋_GB2312" w:hAnsi="仿宋_GB2312" w:eastAsia="仿宋_GB2312" w:cs="仿宋_GB2312"/>
          <w:b/>
          <w:bCs/>
          <w:color w:val="000000"/>
          <w:kern w:val="0"/>
          <w:sz w:val="32"/>
          <w:szCs w:val="32"/>
          <w:lang w:val="en-US" w:eastAsia="zh-CN"/>
        </w:rPr>
        <w:t>62.89</w:t>
      </w:r>
      <w:r>
        <w:rPr>
          <w:rFonts w:hint="eastAsia" w:ascii="仿宋_GB2312" w:hAnsi="仿宋_GB2312" w:eastAsia="仿宋_GB2312" w:cs="仿宋_GB2312"/>
          <w:color w:val="000000"/>
          <w:kern w:val="0"/>
          <w:sz w:val="32"/>
          <w:szCs w:val="32"/>
        </w:rPr>
        <w:t>万元，完成预算</w:t>
      </w:r>
      <w:r>
        <w:rPr>
          <w:rFonts w:hint="eastAsia" w:ascii="仿宋_GB2312" w:hAnsi="仿宋_GB2312" w:eastAsia="仿宋_GB2312" w:cs="仿宋_GB2312"/>
          <w:b/>
          <w:bCs/>
          <w:color w:val="000000"/>
          <w:kern w:val="0"/>
          <w:sz w:val="32"/>
          <w:szCs w:val="32"/>
        </w:rPr>
        <w:t>100</w:t>
      </w:r>
      <w:r>
        <w:rPr>
          <w:rFonts w:hint="eastAsia" w:ascii="仿宋_GB2312" w:hAnsi="仿宋_GB2312" w:eastAsia="仿宋_GB2312" w:cs="仿宋_GB2312"/>
          <w:color w:val="000000"/>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color w:val="000000"/>
          <w:sz w:val="32"/>
          <w:szCs w:val="32"/>
        </w:rPr>
      </w:pPr>
      <w:r>
        <w:rPr>
          <w:rStyle w:val="20"/>
          <w:rFonts w:hint="eastAsia" w:ascii="仿宋_GB2312" w:hAnsi="仿宋_GB2312" w:eastAsia="仿宋_GB2312" w:cs="仿宋_GB2312"/>
          <w:color w:val="000000"/>
          <w:sz w:val="32"/>
          <w:szCs w:val="32"/>
        </w:rPr>
        <w:t>2.社会保障和就业208（类）05（款）05（项）:机关事业单位基本养老保险缴费支出</w:t>
      </w:r>
      <w:r>
        <w:rPr>
          <w:rFonts w:hint="eastAsia" w:ascii="仿宋_GB2312" w:hAnsi="仿宋_GB2312" w:eastAsia="仿宋_GB2312" w:cs="仿宋_GB2312"/>
          <w:color w:val="000000"/>
          <w:sz w:val="32"/>
          <w:szCs w:val="32"/>
        </w:rPr>
        <w:t>决算数为</w:t>
      </w:r>
      <w:r>
        <w:rPr>
          <w:rFonts w:hint="eastAsia" w:ascii="仿宋_GB2312" w:hAnsi="仿宋_GB2312" w:eastAsia="仿宋_GB2312" w:cs="仿宋_GB2312"/>
          <w:b/>
          <w:bCs/>
          <w:color w:val="000000"/>
          <w:sz w:val="32"/>
          <w:szCs w:val="32"/>
          <w:lang w:val="en-US" w:eastAsia="zh-CN"/>
        </w:rPr>
        <w:t>23.47</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b/>
          <w:bCs/>
          <w:color w:val="000000"/>
          <w:sz w:val="32"/>
          <w:szCs w:val="32"/>
        </w:rPr>
        <w:t>100%</w:t>
      </w:r>
      <w:r>
        <w:rPr>
          <w:rFonts w:hint="eastAsia" w:ascii="仿宋_GB2312" w:hAnsi="仿宋_GB2312" w:eastAsia="仿宋_GB2312" w:cs="仿宋_GB2312"/>
          <w:color w:val="000000"/>
          <w:sz w:val="32"/>
          <w:szCs w:val="32"/>
        </w:rPr>
        <w:t>，</w:t>
      </w:r>
      <w:r>
        <w:rPr>
          <w:rStyle w:val="20"/>
          <w:rFonts w:hint="eastAsia" w:ascii="仿宋_GB2312" w:hAnsi="仿宋_GB2312" w:eastAsia="仿宋_GB2312" w:cs="仿宋_GB2312"/>
          <w:color w:val="000000"/>
          <w:sz w:val="32"/>
          <w:szCs w:val="32"/>
        </w:rPr>
        <w:t>208（类）05（款）06（项）机关事业单位职业年金缴费支出</w:t>
      </w:r>
      <w:r>
        <w:rPr>
          <w:rFonts w:hint="eastAsia" w:ascii="仿宋_GB2312" w:hAnsi="仿宋_GB2312" w:eastAsia="仿宋_GB2312" w:cs="仿宋_GB2312"/>
          <w:color w:val="000000"/>
          <w:sz w:val="32"/>
          <w:szCs w:val="32"/>
        </w:rPr>
        <w:t>决算数决算数为</w:t>
      </w:r>
      <w:r>
        <w:rPr>
          <w:rFonts w:hint="eastAsia" w:ascii="仿宋_GB2312" w:hAnsi="仿宋_GB2312" w:eastAsia="仿宋_GB2312" w:cs="仿宋_GB2312"/>
          <w:b/>
          <w:bCs/>
          <w:color w:val="000000"/>
          <w:sz w:val="32"/>
          <w:szCs w:val="32"/>
          <w:lang w:val="en-US" w:eastAsia="zh-CN"/>
        </w:rPr>
        <w:t>11.71</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b/>
          <w:bCs/>
          <w:color w:val="000000"/>
          <w:sz w:val="32"/>
          <w:szCs w:val="32"/>
        </w:rPr>
        <w:t>100%</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w:t>
      </w:r>
      <w:r>
        <w:rPr>
          <w:rFonts w:hint="eastAsia" w:ascii="仿宋_GB2312" w:hAnsi="仿宋_GB2312" w:eastAsia="仿宋_GB2312" w:cs="仿宋_GB2312"/>
          <w:b/>
          <w:color w:val="000000"/>
          <w:kern w:val="0"/>
          <w:sz w:val="32"/>
          <w:szCs w:val="32"/>
        </w:rPr>
        <w:t>卫生健康210（类）11（款）01（项）: 行政单位医疗</w:t>
      </w:r>
      <w:r>
        <w:rPr>
          <w:rFonts w:hint="eastAsia" w:ascii="仿宋_GB2312" w:hAnsi="仿宋_GB2312" w:eastAsia="仿宋_GB2312" w:cs="仿宋_GB2312"/>
          <w:color w:val="000000"/>
          <w:kern w:val="0"/>
          <w:sz w:val="32"/>
          <w:szCs w:val="32"/>
        </w:rPr>
        <w:t>决算数为</w:t>
      </w:r>
      <w:r>
        <w:rPr>
          <w:rFonts w:hint="eastAsia" w:ascii="仿宋_GB2312" w:hAnsi="仿宋_GB2312" w:eastAsia="仿宋_GB2312" w:cs="仿宋_GB2312"/>
          <w:b/>
          <w:bCs/>
          <w:color w:val="000000"/>
          <w:kern w:val="0"/>
          <w:sz w:val="32"/>
          <w:szCs w:val="32"/>
          <w:lang w:val="en-US" w:eastAsia="zh-CN"/>
        </w:rPr>
        <w:t>10.12</w:t>
      </w:r>
      <w:r>
        <w:rPr>
          <w:rFonts w:hint="eastAsia" w:ascii="仿宋_GB2312" w:hAnsi="仿宋_GB2312" w:eastAsia="仿宋_GB2312" w:cs="仿宋_GB2312"/>
          <w:color w:val="000000"/>
          <w:kern w:val="0"/>
          <w:sz w:val="32"/>
          <w:szCs w:val="32"/>
        </w:rPr>
        <w:t>万元，完成预算</w:t>
      </w:r>
      <w:r>
        <w:rPr>
          <w:rFonts w:hint="eastAsia" w:ascii="仿宋_GB2312" w:hAnsi="仿宋_GB2312" w:eastAsia="仿宋_GB2312" w:cs="仿宋_GB2312"/>
          <w:b/>
          <w:bCs/>
          <w:color w:val="000000"/>
          <w:kern w:val="0"/>
          <w:sz w:val="32"/>
          <w:szCs w:val="32"/>
        </w:rPr>
        <w:t>100%</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color w:val="000000"/>
          <w:kern w:val="0"/>
          <w:sz w:val="32"/>
          <w:szCs w:val="32"/>
        </w:rPr>
        <w:t>210（类）11（款）03（项）：公务员医疗补助</w:t>
      </w:r>
      <w:r>
        <w:rPr>
          <w:rFonts w:hint="eastAsia" w:ascii="仿宋_GB2312" w:hAnsi="仿宋_GB2312" w:eastAsia="仿宋_GB2312" w:cs="仿宋_GB2312"/>
          <w:color w:val="000000"/>
          <w:kern w:val="0"/>
          <w:sz w:val="32"/>
          <w:szCs w:val="32"/>
        </w:rPr>
        <w:t>决算数为</w:t>
      </w:r>
      <w:r>
        <w:rPr>
          <w:rFonts w:hint="eastAsia" w:ascii="仿宋_GB2312" w:hAnsi="仿宋_GB2312" w:eastAsia="仿宋_GB2312" w:cs="仿宋_GB2312"/>
          <w:b/>
          <w:bCs/>
          <w:color w:val="000000"/>
          <w:kern w:val="0"/>
          <w:sz w:val="32"/>
          <w:szCs w:val="32"/>
          <w:lang w:val="en-US" w:eastAsia="zh-CN"/>
        </w:rPr>
        <w:t>1.99</w:t>
      </w:r>
      <w:r>
        <w:rPr>
          <w:rFonts w:hint="eastAsia" w:ascii="仿宋_GB2312" w:hAnsi="仿宋_GB2312" w:eastAsia="仿宋_GB2312" w:cs="仿宋_GB2312"/>
          <w:color w:val="000000"/>
          <w:kern w:val="0"/>
          <w:sz w:val="32"/>
          <w:szCs w:val="32"/>
        </w:rPr>
        <w:t>万元，完成预算</w:t>
      </w:r>
      <w:r>
        <w:rPr>
          <w:rFonts w:hint="eastAsia" w:ascii="仿宋_GB2312" w:hAnsi="仿宋_GB2312" w:eastAsia="仿宋_GB2312" w:cs="仿宋_GB2312"/>
          <w:b/>
          <w:bCs/>
          <w:color w:val="000000"/>
          <w:kern w:val="0"/>
          <w:sz w:val="32"/>
          <w:szCs w:val="32"/>
        </w:rPr>
        <w:t>100%</w:t>
      </w:r>
      <w:r>
        <w:rPr>
          <w:rFonts w:hint="eastAsia" w:ascii="仿宋_GB2312" w:hAnsi="仿宋_GB2312" w:eastAsia="仿宋_GB2312" w:cs="仿宋_GB2312"/>
          <w:color w:val="000000"/>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4.</w:t>
      </w:r>
      <w:r>
        <w:rPr>
          <w:rStyle w:val="20"/>
          <w:rFonts w:hint="eastAsia" w:ascii="仿宋_GB2312" w:hAnsi="仿宋_GB2312" w:eastAsia="仿宋_GB2312" w:cs="仿宋_GB2312"/>
          <w:color w:val="000000"/>
          <w:sz w:val="32"/>
          <w:szCs w:val="32"/>
        </w:rPr>
        <w:t>住房保障支出221（类）02（款）01（项）:住房公积金</w:t>
      </w:r>
      <w:r>
        <w:rPr>
          <w:rFonts w:hint="eastAsia" w:ascii="仿宋_GB2312" w:hAnsi="仿宋_GB2312" w:eastAsia="仿宋_GB2312" w:cs="仿宋_GB2312"/>
          <w:color w:val="000000"/>
          <w:sz w:val="32"/>
          <w:szCs w:val="32"/>
        </w:rPr>
        <w:t>决算数为</w:t>
      </w:r>
      <w:r>
        <w:rPr>
          <w:rFonts w:hint="eastAsia" w:ascii="仿宋_GB2312" w:hAnsi="仿宋_GB2312" w:eastAsia="仿宋_GB2312" w:cs="仿宋_GB2312"/>
          <w:b/>
          <w:bCs/>
          <w:color w:val="000000"/>
          <w:sz w:val="32"/>
          <w:szCs w:val="32"/>
          <w:lang w:val="en-US" w:eastAsia="zh-CN"/>
        </w:rPr>
        <w:t>18.08</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b/>
          <w:bCs/>
          <w:color w:val="000000"/>
          <w:sz w:val="32"/>
          <w:szCs w:val="32"/>
        </w:rPr>
        <w:t>100</w:t>
      </w:r>
      <w:r>
        <w:rPr>
          <w:rFonts w:hint="eastAsia" w:ascii="仿宋_GB2312" w:hAnsi="仿宋_GB2312" w:eastAsia="仿宋_GB2312" w:cs="仿宋_GB2312"/>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rPr>
      </w:pP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color w:val="000000"/>
          <w:sz w:val="32"/>
          <w:szCs w:val="32"/>
          <w:lang w:val="en-US" w:eastAsia="zh-CN"/>
        </w:rPr>
        <w:t>文化旅游体育与传媒支出207</w:t>
      </w:r>
      <w:r>
        <w:rPr>
          <w:rFonts w:hint="eastAsia" w:ascii="仿宋_GB2312" w:hAnsi="仿宋_GB2312" w:eastAsia="仿宋_GB2312" w:cs="仿宋_GB2312"/>
          <w:b/>
          <w:color w:val="000000"/>
          <w:kern w:val="0"/>
          <w:sz w:val="32"/>
          <w:szCs w:val="32"/>
        </w:rPr>
        <w:t>（类）</w:t>
      </w:r>
      <w:r>
        <w:rPr>
          <w:rFonts w:hint="eastAsia" w:ascii="仿宋_GB2312" w:hAnsi="仿宋_GB2312" w:eastAsia="仿宋_GB2312" w:cs="仿宋_GB2312"/>
          <w:b/>
          <w:color w:val="000000"/>
          <w:kern w:val="0"/>
          <w:sz w:val="32"/>
          <w:szCs w:val="32"/>
          <w:lang w:val="en-US" w:eastAsia="zh-CN"/>
        </w:rPr>
        <w:t>99</w:t>
      </w:r>
      <w:r>
        <w:rPr>
          <w:rFonts w:hint="eastAsia" w:ascii="仿宋_GB2312" w:hAnsi="仿宋_GB2312" w:eastAsia="仿宋_GB2312" w:cs="仿宋_GB2312"/>
          <w:b/>
          <w:color w:val="000000"/>
          <w:kern w:val="0"/>
          <w:sz w:val="32"/>
          <w:szCs w:val="32"/>
        </w:rPr>
        <w:t>（款）</w:t>
      </w:r>
      <w:r>
        <w:rPr>
          <w:rFonts w:hint="eastAsia" w:ascii="仿宋_GB2312" w:hAnsi="仿宋_GB2312" w:eastAsia="仿宋_GB2312" w:cs="仿宋_GB2312"/>
          <w:b/>
          <w:color w:val="000000"/>
          <w:kern w:val="0"/>
          <w:sz w:val="32"/>
          <w:szCs w:val="32"/>
          <w:lang w:val="en-US" w:eastAsia="zh-CN"/>
        </w:rPr>
        <w:t>99</w:t>
      </w:r>
      <w:r>
        <w:rPr>
          <w:rFonts w:hint="eastAsia" w:ascii="仿宋_GB2312" w:hAnsi="仿宋_GB2312" w:eastAsia="仿宋_GB2312" w:cs="仿宋_GB2312"/>
          <w:b/>
          <w:color w:val="000000"/>
          <w:kern w:val="0"/>
          <w:sz w:val="32"/>
          <w:szCs w:val="32"/>
        </w:rPr>
        <w:t>（项）:其他文化旅游体育与传媒支出</w:t>
      </w:r>
      <w:r>
        <w:rPr>
          <w:rFonts w:hint="eastAsia" w:ascii="仿宋_GB2312" w:hAnsi="仿宋_GB2312" w:eastAsia="仿宋_GB2312" w:cs="仿宋_GB2312"/>
          <w:color w:val="000000"/>
          <w:kern w:val="0"/>
          <w:sz w:val="32"/>
          <w:szCs w:val="32"/>
        </w:rPr>
        <w:t>决算数为</w:t>
      </w:r>
      <w:r>
        <w:rPr>
          <w:rFonts w:hint="eastAsia" w:ascii="仿宋_GB2312" w:hAnsi="仿宋_GB2312" w:eastAsia="仿宋_GB2312" w:cs="仿宋_GB2312"/>
          <w:b/>
          <w:bCs/>
          <w:color w:val="000000"/>
          <w:kern w:val="0"/>
          <w:sz w:val="32"/>
          <w:szCs w:val="32"/>
          <w:lang w:val="en-US" w:eastAsia="zh-CN"/>
        </w:rPr>
        <w:t>100.00</w:t>
      </w:r>
      <w:r>
        <w:rPr>
          <w:rFonts w:hint="eastAsia" w:ascii="仿宋_GB2312" w:hAnsi="仿宋_GB2312" w:eastAsia="仿宋_GB2312" w:cs="仿宋_GB2312"/>
          <w:color w:val="000000"/>
          <w:kern w:val="0"/>
          <w:sz w:val="32"/>
          <w:szCs w:val="32"/>
        </w:rPr>
        <w:t>万元，完成预算</w:t>
      </w:r>
      <w:r>
        <w:rPr>
          <w:rFonts w:hint="eastAsia" w:ascii="仿宋_GB2312" w:hAnsi="仿宋_GB2312" w:eastAsia="仿宋_GB2312" w:cs="仿宋_GB2312"/>
          <w:b/>
          <w:bCs/>
          <w:color w:val="000000"/>
          <w:kern w:val="0"/>
          <w:sz w:val="32"/>
          <w:szCs w:val="32"/>
        </w:rPr>
        <w:t>100%</w:t>
      </w:r>
      <w:r>
        <w:rPr>
          <w:rFonts w:hint="eastAsia" w:ascii="仿宋_GB2312" w:hAnsi="仿宋_GB2312" w:eastAsia="仿宋_GB2312" w:cs="仿宋_GB2312"/>
          <w:color w:val="000000"/>
          <w:kern w:val="0"/>
          <w:sz w:val="32"/>
          <w:szCs w:val="32"/>
        </w:rPr>
        <w:t>。</w:t>
      </w:r>
    </w:p>
    <w:p>
      <w:pPr>
        <w:tabs>
          <w:tab w:val="right" w:pos="8306"/>
        </w:tabs>
        <w:spacing w:line="600" w:lineRule="exact"/>
        <w:ind w:firstLine="640"/>
        <w:outlineLvl w:val="1"/>
        <w:rPr>
          <w:rStyle w:val="23"/>
          <w:rFonts w:ascii="黑体" w:eastAsia="黑体" w:cs="黑体"/>
          <w:b w:val="0"/>
          <w:bCs w:val="0"/>
        </w:rPr>
      </w:pPr>
      <w:bookmarkStart w:id="57" w:name="_Toc15377214"/>
      <w:bookmarkStart w:id="58" w:name="_Toc15396608"/>
      <w:bookmarkStart w:id="59" w:name="_Toc83062177"/>
      <w:bookmarkStart w:id="60" w:name="_Toc5348"/>
      <w:r>
        <w:rPr>
          <w:rFonts w:hint="eastAsia" w:ascii="黑体" w:eastAsia="黑体" w:cs="黑体"/>
          <w:color w:val="000000"/>
          <w:sz w:val="32"/>
          <w:szCs w:val="32"/>
        </w:rPr>
        <w:t>六、一</w:t>
      </w:r>
      <w:r>
        <w:rPr>
          <w:rStyle w:val="23"/>
          <w:rFonts w:hint="eastAsia" w:ascii="黑体" w:eastAsia="黑体" w:cs="黑体"/>
          <w:b w:val="0"/>
          <w:bCs w:val="0"/>
        </w:rPr>
        <w:t>般公共预算财政拨款基本支出决算情况说明</w:t>
      </w:r>
      <w:bookmarkEnd w:id="57"/>
      <w:bookmarkEnd w:id="58"/>
      <w:bookmarkEnd w:id="59"/>
      <w:bookmarkEnd w:id="60"/>
    </w:p>
    <w:p>
      <w:pPr>
        <w:rPr>
          <w:rFonts w:ascii="Calibri Light" w:hAnsi="Calibri Light" w:cs="Calibri Light"/>
        </w:rPr>
      </w:pPr>
      <w:r>
        <w:rPr>
          <w:rStyle w:val="23"/>
          <w:rFonts w:ascii="黑体" w:eastAsia="黑体" w:cs="Times New Roman"/>
          <w:b w:val="0"/>
          <w:bCs w:val="0"/>
        </w:rPr>
        <w:tab/>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仿宋_GB2312" w:eastAsia="仿宋_GB2312" w:cs="仿宋_GB2312"/>
          <w:color w:val="000000"/>
          <w:sz w:val="32"/>
          <w:szCs w:val="32"/>
        </w:rPr>
      </w:pP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2024年度</w:t>
      </w:r>
      <w:r>
        <w:rPr>
          <w:rFonts w:hint="eastAsia" w:ascii="仿宋_GB2312" w:eastAsia="仿宋_GB2312" w:cs="仿宋_GB2312"/>
          <w:color w:val="000000"/>
          <w:sz w:val="32"/>
          <w:szCs w:val="32"/>
        </w:rPr>
        <w:t>一般公共预算财政拨款基本支出</w:t>
      </w:r>
      <w:r>
        <w:rPr>
          <w:rFonts w:hint="eastAsia" w:ascii="仿宋" w:hAnsi="仿宋" w:eastAsia="仿宋"/>
          <w:b/>
          <w:sz w:val="32"/>
          <w:szCs w:val="32"/>
          <w:lang w:val="en-US" w:eastAsia="zh-CN"/>
        </w:rPr>
        <w:t>277.11</w:t>
      </w:r>
      <w:r>
        <w:rPr>
          <w:rFonts w:hint="eastAsia" w:ascii="仿宋_GB2312" w:eastAsia="仿宋_GB2312" w:cs="仿宋_GB2312"/>
          <w:color w:val="000000"/>
          <w:sz w:val="32"/>
          <w:szCs w:val="32"/>
        </w:rPr>
        <w:t>万元，其中：</w:t>
      </w:r>
    </w:p>
    <w:p>
      <w:pPr>
        <w:keepNext w:val="0"/>
        <w:keepLines w:val="0"/>
        <w:pageBreakBefore w:val="0"/>
        <w:widowControl/>
        <w:kinsoku/>
        <w:wordWrap/>
        <w:overflowPunct/>
        <w:topLinePunct w:val="0"/>
        <w:autoSpaceDE/>
        <w:autoSpaceDN/>
        <w:bidi w:val="0"/>
        <w:adjustRightInd/>
        <w:snapToGrid/>
        <w:spacing w:after="100" w:afterAutospacing="1" w:line="360" w:lineRule="auto"/>
        <w:ind w:firstLine="640" w:firstLineChars="200"/>
        <w:textAlignment w:val="auto"/>
        <w:rPr>
          <w:rFonts w:ascii="仿宋_GB2312" w:eastAsia="仿宋_GB2312" w:cs="仿宋_GB2312"/>
          <w:kern w:val="0"/>
          <w:sz w:val="32"/>
          <w:szCs w:val="32"/>
        </w:rPr>
      </w:pPr>
      <w:bookmarkStart w:id="61" w:name="_Toc15396609"/>
      <w:bookmarkStart w:id="62" w:name="_Toc15377215"/>
      <w:r>
        <w:rPr>
          <w:rFonts w:hint="eastAsia" w:ascii="仿宋_GB2312" w:eastAsia="仿宋_GB2312" w:cs="仿宋_GB2312"/>
          <w:kern w:val="0"/>
          <w:sz w:val="32"/>
          <w:szCs w:val="32"/>
          <w:shd w:val="clear" w:color="auto" w:fill="FFFFFF"/>
        </w:rPr>
        <w:t>人员经费</w:t>
      </w:r>
      <w:r>
        <w:rPr>
          <w:rFonts w:hint="eastAsia" w:ascii="仿宋" w:hAnsi="仿宋" w:eastAsia="仿宋"/>
          <w:b/>
          <w:sz w:val="32"/>
          <w:szCs w:val="32"/>
          <w:lang w:val="en-US" w:eastAsia="zh-CN"/>
        </w:rPr>
        <w:t>245.29</w:t>
      </w:r>
      <w:r>
        <w:rPr>
          <w:rFonts w:hint="eastAsia" w:ascii="仿宋_GB2312" w:eastAsia="仿宋_GB2312" w:cs="仿宋_GB2312"/>
          <w:kern w:val="0"/>
          <w:sz w:val="32"/>
          <w:szCs w:val="32"/>
          <w:shd w:val="clear" w:color="auto" w:fill="FFFFFF"/>
        </w:rPr>
        <w:t>万元，主要包括：基本工资</w:t>
      </w:r>
      <w:r>
        <w:rPr>
          <w:rFonts w:hint="eastAsia" w:ascii="仿宋_GB2312" w:eastAsia="仿宋_GB2312" w:cs="仿宋_GB2312"/>
          <w:kern w:val="0"/>
          <w:sz w:val="32"/>
          <w:szCs w:val="32"/>
          <w:shd w:val="clear" w:color="auto" w:fill="FFFFFF"/>
          <w:lang w:val="en-US" w:eastAsia="zh-CN"/>
        </w:rPr>
        <w:t>44.23</w:t>
      </w:r>
      <w:r>
        <w:rPr>
          <w:rFonts w:hint="eastAsia" w:ascii="仿宋_GB2312" w:eastAsia="仿宋_GB2312" w:cs="仿宋_GB2312"/>
          <w:kern w:val="0"/>
          <w:sz w:val="32"/>
          <w:szCs w:val="32"/>
          <w:shd w:val="clear" w:color="auto" w:fill="FFFFFF"/>
        </w:rPr>
        <w:t>万元、津贴补贴</w:t>
      </w:r>
      <w:r>
        <w:rPr>
          <w:rFonts w:hint="eastAsia" w:ascii="仿宋_GB2312" w:eastAsia="仿宋_GB2312" w:cs="仿宋_GB2312"/>
          <w:kern w:val="0"/>
          <w:sz w:val="32"/>
          <w:szCs w:val="32"/>
          <w:shd w:val="clear" w:color="auto" w:fill="FFFFFF"/>
          <w:lang w:val="en-US" w:eastAsia="zh-CN"/>
        </w:rPr>
        <w:t>53.51</w:t>
      </w:r>
      <w:r>
        <w:rPr>
          <w:rFonts w:hint="eastAsia" w:ascii="仿宋_GB2312" w:eastAsia="仿宋_GB2312" w:cs="仿宋_GB2312"/>
          <w:kern w:val="0"/>
          <w:sz w:val="32"/>
          <w:szCs w:val="32"/>
          <w:shd w:val="clear" w:color="auto" w:fill="FFFFFF"/>
        </w:rPr>
        <w:t>万元、奖金</w:t>
      </w:r>
      <w:r>
        <w:rPr>
          <w:rFonts w:hint="eastAsia" w:ascii="仿宋_GB2312" w:eastAsia="仿宋_GB2312" w:cs="仿宋_GB2312"/>
          <w:kern w:val="0"/>
          <w:sz w:val="32"/>
          <w:szCs w:val="32"/>
          <w:shd w:val="clear" w:color="auto" w:fill="FFFFFF"/>
          <w:lang w:val="en-US" w:eastAsia="zh-CN"/>
        </w:rPr>
        <w:t>58.78</w:t>
      </w:r>
      <w:r>
        <w:rPr>
          <w:rFonts w:hint="eastAsia" w:ascii="仿宋_GB2312" w:eastAsia="仿宋_GB2312" w:cs="仿宋_GB2312"/>
          <w:kern w:val="0"/>
          <w:sz w:val="32"/>
          <w:szCs w:val="32"/>
          <w:shd w:val="clear" w:color="auto" w:fill="FFFFFF"/>
        </w:rPr>
        <w:t>万元、伙食补助费</w:t>
      </w:r>
      <w:r>
        <w:rPr>
          <w:rFonts w:hint="eastAsia" w:ascii="仿宋_GB2312" w:eastAsia="仿宋_GB2312" w:cs="仿宋_GB2312"/>
          <w:kern w:val="0"/>
          <w:sz w:val="32"/>
          <w:szCs w:val="32"/>
          <w:shd w:val="clear" w:color="auto" w:fill="FFFFFF"/>
          <w:lang w:val="en-US" w:eastAsia="zh-CN"/>
        </w:rPr>
        <w:t>4.27</w:t>
      </w:r>
      <w:r>
        <w:rPr>
          <w:rFonts w:hint="eastAsia" w:ascii="仿宋_GB2312" w:eastAsia="仿宋_GB2312" w:cs="仿宋_GB2312"/>
          <w:kern w:val="0"/>
          <w:sz w:val="32"/>
          <w:szCs w:val="32"/>
          <w:shd w:val="clear" w:color="auto" w:fill="FFFFFF"/>
        </w:rPr>
        <w:t>万元、机关事业单位基本养老保险缴费</w:t>
      </w:r>
      <w:r>
        <w:rPr>
          <w:rFonts w:hint="eastAsia" w:ascii="仿宋_GB2312" w:eastAsia="仿宋_GB2312" w:cs="仿宋_GB2312"/>
          <w:kern w:val="0"/>
          <w:sz w:val="32"/>
          <w:szCs w:val="32"/>
          <w:shd w:val="clear" w:color="auto" w:fill="FFFFFF"/>
          <w:lang w:val="en-US" w:eastAsia="zh-CN"/>
        </w:rPr>
        <w:t>23.47</w:t>
      </w:r>
      <w:r>
        <w:rPr>
          <w:rFonts w:hint="eastAsia" w:ascii="仿宋_GB2312" w:eastAsia="仿宋_GB2312" w:cs="仿宋_GB2312"/>
          <w:kern w:val="0"/>
          <w:sz w:val="32"/>
          <w:szCs w:val="32"/>
          <w:shd w:val="clear" w:color="auto" w:fill="FFFFFF"/>
        </w:rPr>
        <w:t>万元、职业年金缴费</w:t>
      </w:r>
      <w:r>
        <w:rPr>
          <w:rFonts w:hint="eastAsia" w:ascii="仿宋_GB2312" w:eastAsia="仿宋_GB2312" w:cs="仿宋_GB2312"/>
          <w:kern w:val="0"/>
          <w:sz w:val="32"/>
          <w:szCs w:val="32"/>
          <w:shd w:val="clear" w:color="auto" w:fill="FFFFFF"/>
          <w:lang w:val="en-US" w:eastAsia="zh-CN"/>
        </w:rPr>
        <w:t>11.71</w:t>
      </w:r>
      <w:r>
        <w:rPr>
          <w:rFonts w:hint="eastAsia" w:ascii="仿宋_GB2312" w:eastAsia="仿宋_GB2312" w:cs="仿宋_GB2312"/>
          <w:kern w:val="0"/>
          <w:sz w:val="32"/>
          <w:szCs w:val="32"/>
          <w:shd w:val="clear" w:color="auto" w:fill="FFFFFF"/>
        </w:rPr>
        <w:t>万元、职工基本医疗保险缴费</w:t>
      </w:r>
      <w:r>
        <w:rPr>
          <w:rFonts w:hint="eastAsia" w:ascii="仿宋_GB2312" w:eastAsia="仿宋_GB2312" w:cs="仿宋_GB2312"/>
          <w:kern w:val="0"/>
          <w:sz w:val="32"/>
          <w:szCs w:val="32"/>
          <w:shd w:val="clear" w:color="auto" w:fill="FFFFFF"/>
          <w:lang w:val="en-US" w:eastAsia="zh-CN"/>
        </w:rPr>
        <w:t>10.12</w:t>
      </w:r>
      <w:r>
        <w:rPr>
          <w:rFonts w:hint="eastAsia" w:ascii="仿宋_GB2312" w:eastAsia="仿宋_GB2312" w:cs="仿宋_GB2312"/>
          <w:kern w:val="0"/>
          <w:sz w:val="32"/>
          <w:szCs w:val="32"/>
          <w:shd w:val="clear" w:color="auto" w:fill="FFFFFF"/>
        </w:rPr>
        <w:t>万元、公务员医疗补助缴费</w:t>
      </w:r>
      <w:r>
        <w:rPr>
          <w:rFonts w:hint="eastAsia" w:ascii="仿宋_GB2312" w:eastAsia="仿宋_GB2312" w:cs="仿宋_GB2312"/>
          <w:kern w:val="0"/>
          <w:sz w:val="32"/>
          <w:szCs w:val="32"/>
          <w:shd w:val="clear" w:color="auto" w:fill="FFFFFF"/>
          <w:lang w:val="en-US" w:eastAsia="zh-CN"/>
        </w:rPr>
        <w:t>1.99</w:t>
      </w:r>
      <w:r>
        <w:rPr>
          <w:rFonts w:hint="eastAsia" w:ascii="仿宋_GB2312" w:eastAsia="仿宋_GB2312" w:cs="仿宋_GB2312"/>
          <w:kern w:val="0"/>
          <w:sz w:val="32"/>
          <w:szCs w:val="32"/>
          <w:shd w:val="clear" w:color="auto" w:fill="FFFFFF"/>
        </w:rPr>
        <w:t>万元、其他社会保障缴费</w:t>
      </w:r>
      <w:r>
        <w:rPr>
          <w:rFonts w:hint="eastAsia" w:ascii="仿宋_GB2312" w:eastAsia="仿宋_GB2312" w:cs="仿宋_GB2312"/>
          <w:kern w:val="0"/>
          <w:sz w:val="32"/>
          <w:szCs w:val="32"/>
          <w:shd w:val="clear" w:color="auto" w:fill="FFFFFF"/>
          <w:lang w:val="en-US" w:eastAsia="zh-CN"/>
        </w:rPr>
        <w:t>2.26</w:t>
      </w:r>
      <w:r>
        <w:rPr>
          <w:rFonts w:hint="eastAsia" w:ascii="仿宋_GB2312" w:eastAsia="仿宋_GB2312" w:cs="仿宋_GB2312"/>
          <w:kern w:val="0"/>
          <w:sz w:val="32"/>
          <w:szCs w:val="32"/>
          <w:shd w:val="clear" w:color="auto" w:fill="FFFFFF"/>
        </w:rPr>
        <w:t>万元、住房公积金</w:t>
      </w:r>
      <w:r>
        <w:rPr>
          <w:rFonts w:hint="eastAsia" w:ascii="仿宋_GB2312" w:eastAsia="仿宋_GB2312" w:cs="仿宋_GB2312"/>
          <w:kern w:val="0"/>
          <w:sz w:val="32"/>
          <w:szCs w:val="32"/>
          <w:shd w:val="clear" w:color="auto" w:fill="FFFFFF"/>
          <w:lang w:val="en-US" w:eastAsia="zh-CN"/>
        </w:rPr>
        <w:t>18.08</w:t>
      </w:r>
      <w:r>
        <w:rPr>
          <w:rFonts w:hint="eastAsia" w:ascii="仿宋_GB2312" w:eastAsia="仿宋_GB2312" w:cs="仿宋_GB2312"/>
          <w:kern w:val="0"/>
          <w:sz w:val="32"/>
          <w:szCs w:val="32"/>
          <w:shd w:val="clear" w:color="auto" w:fill="FFFFFF"/>
        </w:rPr>
        <w:t>万元、其他工资福利支出</w:t>
      </w:r>
      <w:r>
        <w:rPr>
          <w:rFonts w:hint="eastAsia" w:ascii="仿宋_GB2312" w:eastAsia="仿宋_GB2312" w:cs="仿宋_GB2312"/>
          <w:kern w:val="0"/>
          <w:sz w:val="32"/>
          <w:szCs w:val="32"/>
          <w:shd w:val="clear" w:color="auto" w:fill="FFFFFF"/>
          <w:lang w:val="en-US" w:eastAsia="zh-CN"/>
        </w:rPr>
        <w:t>11.84</w:t>
      </w:r>
      <w:r>
        <w:rPr>
          <w:rFonts w:hint="eastAsia" w:ascii="仿宋_GB2312" w:eastAsia="仿宋_GB2312" w:cs="仿宋_GB2312"/>
          <w:kern w:val="0"/>
          <w:sz w:val="32"/>
          <w:szCs w:val="32"/>
          <w:shd w:val="clear" w:color="auto" w:fill="FFFFFF"/>
        </w:rPr>
        <w:t>万元、生活补助</w:t>
      </w:r>
      <w:r>
        <w:rPr>
          <w:rFonts w:hint="eastAsia" w:ascii="仿宋_GB2312" w:eastAsia="仿宋_GB2312" w:cs="仿宋_GB2312"/>
          <w:kern w:val="0"/>
          <w:sz w:val="32"/>
          <w:szCs w:val="32"/>
          <w:shd w:val="clear" w:color="auto" w:fill="FFFFFF"/>
          <w:lang w:val="en-US" w:eastAsia="zh-CN"/>
        </w:rPr>
        <w:t>5.02</w:t>
      </w:r>
      <w:r>
        <w:rPr>
          <w:rFonts w:hint="eastAsia" w:ascii="仿宋_GB2312" w:eastAsia="仿宋_GB2312" w:cs="仿宋_GB2312"/>
          <w:kern w:val="0"/>
          <w:sz w:val="32"/>
          <w:szCs w:val="32"/>
          <w:shd w:val="clear" w:color="auto" w:fill="FFFFFF"/>
        </w:rPr>
        <w:t>万元、奖励金</w:t>
      </w:r>
      <w:r>
        <w:rPr>
          <w:rFonts w:hint="eastAsia" w:ascii="仿宋_GB2312" w:eastAsia="仿宋_GB2312" w:cs="仿宋_GB2312"/>
          <w:kern w:val="0"/>
          <w:sz w:val="32"/>
          <w:szCs w:val="32"/>
          <w:shd w:val="clear" w:color="auto" w:fill="FFFFFF"/>
          <w:lang w:val="en-US" w:eastAsia="zh-CN"/>
        </w:rPr>
        <w:t>0.01</w:t>
      </w:r>
      <w:r>
        <w:rPr>
          <w:rFonts w:hint="eastAsia" w:ascii="仿宋_GB2312" w:eastAsia="仿宋_GB2312" w:cs="仿宋_GB2312"/>
          <w:kern w:val="0"/>
          <w:sz w:val="32"/>
          <w:szCs w:val="32"/>
          <w:shd w:val="clear" w:color="auto" w:fill="FFFFFF"/>
        </w:rPr>
        <w:t>万元。</w:t>
      </w:r>
    </w:p>
    <w:p>
      <w:pPr>
        <w:keepNext w:val="0"/>
        <w:keepLines w:val="0"/>
        <w:pageBreakBefore w:val="0"/>
        <w:widowControl/>
        <w:kinsoku/>
        <w:wordWrap/>
        <w:overflowPunct/>
        <w:topLinePunct w:val="0"/>
        <w:autoSpaceDE/>
        <w:autoSpaceDN/>
        <w:bidi w:val="0"/>
        <w:adjustRightInd/>
        <w:snapToGrid/>
        <w:spacing w:after="100" w:afterAutospacing="1" w:line="360" w:lineRule="auto"/>
        <w:ind w:firstLine="640" w:firstLineChars="200"/>
        <w:textAlignment w:val="auto"/>
        <w:rPr>
          <w:rFonts w:hint="eastAsia" w:ascii="仿宋_GB2312" w:hAnsi="仿宋_GB2312" w:eastAsia="仿宋_GB2312" w:cs="仿宋_GB2312"/>
          <w:kern w:val="0"/>
          <w:sz w:val="32"/>
          <w:szCs w:val="32"/>
        </w:rPr>
      </w:pPr>
      <w:r>
        <w:rPr>
          <w:rFonts w:hint="eastAsia" w:ascii="仿宋_GB2312" w:eastAsia="仿宋_GB2312" w:cs="仿宋_GB2312"/>
          <w:kern w:val="0"/>
          <w:sz w:val="32"/>
          <w:szCs w:val="32"/>
          <w:shd w:val="clear" w:color="auto" w:fill="FFFFFF"/>
        </w:rPr>
        <w:t>公用经费</w:t>
      </w:r>
      <w:r>
        <w:rPr>
          <w:rFonts w:hint="eastAsia" w:ascii="仿宋" w:hAnsi="仿宋" w:eastAsia="仿宋"/>
          <w:b/>
          <w:sz w:val="32"/>
          <w:szCs w:val="32"/>
          <w:lang w:val="en-US" w:eastAsia="zh-CN"/>
        </w:rPr>
        <w:t>31.81</w:t>
      </w:r>
      <w:r>
        <w:rPr>
          <w:rFonts w:hint="eastAsia" w:ascii="仿宋_GB2312" w:eastAsia="仿宋_GB2312" w:cs="仿宋_GB2312"/>
          <w:kern w:val="0"/>
          <w:sz w:val="32"/>
          <w:szCs w:val="32"/>
          <w:shd w:val="clear" w:color="auto" w:fill="FFFFFF"/>
        </w:rPr>
        <w:t>万元，主要包括：办公费</w:t>
      </w:r>
      <w:r>
        <w:rPr>
          <w:rFonts w:hint="eastAsia" w:ascii="仿宋_GB2312" w:eastAsia="仿宋_GB2312" w:cs="仿宋_GB2312"/>
          <w:kern w:val="0"/>
          <w:sz w:val="32"/>
          <w:szCs w:val="32"/>
          <w:shd w:val="clear" w:color="auto" w:fill="FFFFFF"/>
          <w:lang w:val="en-US" w:eastAsia="zh-CN"/>
        </w:rPr>
        <w:t>3.41</w:t>
      </w:r>
      <w:r>
        <w:rPr>
          <w:rFonts w:hint="eastAsia" w:ascii="仿宋_GB2312" w:eastAsia="仿宋_GB2312" w:cs="仿宋_GB2312"/>
          <w:kern w:val="0"/>
          <w:sz w:val="32"/>
          <w:szCs w:val="32"/>
          <w:shd w:val="clear" w:color="auto" w:fill="FFFFFF"/>
        </w:rPr>
        <w:t>万元、</w:t>
      </w:r>
      <w:r>
        <w:rPr>
          <w:rFonts w:hint="eastAsia" w:ascii="仿宋_GB2312" w:eastAsia="仿宋_GB2312" w:cs="仿宋_GB2312"/>
          <w:kern w:val="0"/>
          <w:sz w:val="32"/>
          <w:szCs w:val="32"/>
          <w:shd w:val="clear" w:color="auto" w:fill="FFFFFF"/>
          <w:lang w:val="en-US" w:eastAsia="zh-CN"/>
        </w:rPr>
        <w:t>手续费0.07万元、水费0.12万元、</w:t>
      </w:r>
      <w:r>
        <w:rPr>
          <w:rFonts w:hint="eastAsia" w:ascii="仿宋_GB2312" w:eastAsia="仿宋_GB2312" w:cs="仿宋_GB2312"/>
          <w:kern w:val="0"/>
          <w:sz w:val="32"/>
          <w:szCs w:val="32"/>
          <w:shd w:val="clear" w:color="auto" w:fill="FFFFFF"/>
        </w:rPr>
        <w:t>电费</w:t>
      </w:r>
      <w:r>
        <w:rPr>
          <w:rFonts w:hint="eastAsia" w:ascii="仿宋_GB2312" w:eastAsia="仿宋_GB2312" w:cs="仿宋_GB2312"/>
          <w:kern w:val="0"/>
          <w:sz w:val="32"/>
          <w:szCs w:val="32"/>
          <w:shd w:val="clear" w:color="auto" w:fill="FFFFFF"/>
          <w:lang w:val="en-US" w:eastAsia="zh-CN"/>
        </w:rPr>
        <w:t>0.34</w:t>
      </w:r>
      <w:r>
        <w:rPr>
          <w:rFonts w:hint="eastAsia" w:ascii="仿宋_GB2312" w:eastAsia="仿宋_GB2312" w:cs="仿宋_GB2312"/>
          <w:kern w:val="0"/>
          <w:sz w:val="32"/>
          <w:szCs w:val="32"/>
          <w:shd w:val="clear" w:color="auto" w:fill="FFFFFF"/>
        </w:rPr>
        <w:t>万元、邮电费</w:t>
      </w:r>
      <w:r>
        <w:rPr>
          <w:rFonts w:hint="eastAsia" w:ascii="仿宋_GB2312" w:eastAsia="仿宋_GB2312" w:cs="仿宋_GB2312"/>
          <w:kern w:val="0"/>
          <w:sz w:val="32"/>
          <w:szCs w:val="32"/>
          <w:shd w:val="clear" w:color="auto" w:fill="FFFFFF"/>
          <w:lang w:val="en-US" w:eastAsia="zh-CN"/>
        </w:rPr>
        <w:t>3.32</w:t>
      </w:r>
      <w:r>
        <w:rPr>
          <w:rFonts w:hint="eastAsia" w:ascii="仿宋_GB2312" w:eastAsia="仿宋_GB2312" w:cs="仿宋_GB2312"/>
          <w:kern w:val="0"/>
          <w:sz w:val="32"/>
          <w:szCs w:val="32"/>
          <w:shd w:val="clear" w:color="auto" w:fill="FFFFFF"/>
        </w:rPr>
        <w:t>万元、差旅费</w:t>
      </w:r>
      <w:r>
        <w:rPr>
          <w:rFonts w:hint="eastAsia" w:ascii="仿宋_GB2312" w:eastAsia="仿宋_GB2312" w:cs="仿宋_GB2312"/>
          <w:kern w:val="0"/>
          <w:sz w:val="32"/>
          <w:szCs w:val="32"/>
          <w:shd w:val="clear" w:color="auto" w:fill="FFFFFF"/>
          <w:lang w:val="en-US" w:eastAsia="zh-CN"/>
        </w:rPr>
        <w:t>8.22</w:t>
      </w:r>
      <w:r>
        <w:rPr>
          <w:rFonts w:hint="eastAsia" w:ascii="仿宋_GB2312" w:eastAsia="仿宋_GB2312" w:cs="仿宋_GB2312"/>
          <w:kern w:val="0"/>
          <w:sz w:val="32"/>
          <w:szCs w:val="32"/>
          <w:shd w:val="clear" w:color="auto" w:fill="FFFFFF"/>
        </w:rPr>
        <w:t>万元、维修（护）费</w:t>
      </w:r>
      <w:r>
        <w:rPr>
          <w:rFonts w:hint="eastAsia" w:ascii="仿宋_GB2312" w:eastAsia="仿宋_GB2312" w:cs="仿宋_GB2312"/>
          <w:kern w:val="0"/>
          <w:sz w:val="32"/>
          <w:szCs w:val="32"/>
          <w:shd w:val="clear" w:color="auto" w:fill="FFFFFF"/>
          <w:lang w:val="en-US" w:eastAsia="zh-CN"/>
        </w:rPr>
        <w:t>0.93</w:t>
      </w:r>
      <w:r>
        <w:rPr>
          <w:rFonts w:hint="eastAsia" w:ascii="仿宋_GB2312" w:eastAsia="仿宋_GB2312" w:cs="仿宋_GB2312"/>
          <w:kern w:val="0"/>
          <w:sz w:val="32"/>
          <w:szCs w:val="32"/>
          <w:shd w:val="clear" w:color="auto" w:fill="FFFFFF"/>
        </w:rPr>
        <w:t>万元、</w:t>
      </w:r>
      <w:r>
        <w:rPr>
          <w:rFonts w:hint="eastAsia" w:eastAsia="仿宋_GB2312" w:cs="仿宋_GB2312"/>
          <w:sz w:val="32"/>
          <w:szCs w:val="32"/>
        </w:rPr>
        <w:t>会议费</w:t>
      </w:r>
      <w:r>
        <w:rPr>
          <w:rFonts w:hint="eastAsia" w:ascii="仿宋_GB2312" w:hAnsi="仿宋_GB2312" w:eastAsia="仿宋_GB2312" w:cs="仿宋_GB2312"/>
          <w:sz w:val="32"/>
          <w:szCs w:val="32"/>
          <w:lang w:val="en-US" w:eastAsia="zh-CN"/>
        </w:rPr>
        <w:t>6.94</w:t>
      </w:r>
      <w:r>
        <w:rPr>
          <w:rFonts w:hint="eastAsia" w:ascii="仿宋_GB2312" w:hAnsi="仿宋_GB2312" w:eastAsia="仿宋_GB2312" w:cs="仿宋_GB2312"/>
          <w:kern w:val="0"/>
          <w:sz w:val="32"/>
          <w:szCs w:val="32"/>
          <w:shd w:val="clear" w:color="auto" w:fill="FFFFFF"/>
        </w:rPr>
        <w:t>万元</w:t>
      </w:r>
      <w:r>
        <w:rPr>
          <w:rFonts w:hint="eastAsia" w:ascii="仿宋_GB2312" w:eastAsia="仿宋_GB2312" w:cs="仿宋_GB2312"/>
          <w:kern w:val="0"/>
          <w:sz w:val="32"/>
          <w:szCs w:val="32"/>
          <w:shd w:val="clear" w:color="auto" w:fill="FFFFFF"/>
        </w:rPr>
        <w:t>、培训费</w:t>
      </w:r>
      <w:r>
        <w:rPr>
          <w:rFonts w:hint="eastAsia" w:ascii="仿宋_GB2312" w:eastAsia="仿宋_GB2312" w:cs="仿宋_GB2312"/>
          <w:kern w:val="0"/>
          <w:sz w:val="32"/>
          <w:szCs w:val="32"/>
          <w:shd w:val="clear" w:color="auto" w:fill="FFFFFF"/>
          <w:lang w:val="en-US" w:eastAsia="zh-CN"/>
        </w:rPr>
        <w:t>1.33</w:t>
      </w:r>
      <w:r>
        <w:rPr>
          <w:rFonts w:hint="eastAsia" w:ascii="仿宋_GB2312" w:eastAsia="仿宋_GB2312" w:cs="仿宋_GB2312"/>
          <w:kern w:val="0"/>
          <w:sz w:val="32"/>
          <w:szCs w:val="32"/>
          <w:shd w:val="clear" w:color="auto" w:fill="FFFFFF"/>
        </w:rPr>
        <w:t>万元、</w:t>
      </w:r>
      <w:r>
        <w:rPr>
          <w:rFonts w:hint="eastAsia" w:ascii="仿宋_GB2312" w:eastAsia="仿宋_GB2312" w:cs="仿宋_GB2312"/>
          <w:kern w:val="0"/>
          <w:sz w:val="32"/>
          <w:szCs w:val="32"/>
          <w:shd w:val="clear" w:color="auto" w:fill="FFFFFF"/>
          <w:lang w:val="en-US" w:eastAsia="zh-CN"/>
        </w:rPr>
        <w:t>委托业务费3.75万元、</w:t>
      </w:r>
      <w:r>
        <w:rPr>
          <w:rFonts w:hint="eastAsia" w:ascii="仿宋_GB2312" w:eastAsia="仿宋_GB2312" w:cs="仿宋_GB2312"/>
          <w:kern w:val="0"/>
          <w:sz w:val="32"/>
          <w:szCs w:val="32"/>
          <w:shd w:val="clear" w:color="auto" w:fill="FFFFFF"/>
        </w:rPr>
        <w:t>公务用车运行维护费</w:t>
      </w:r>
      <w:r>
        <w:rPr>
          <w:rFonts w:hint="eastAsia" w:ascii="仿宋_GB2312" w:eastAsia="仿宋_GB2312" w:cs="仿宋_GB2312"/>
          <w:kern w:val="0"/>
          <w:sz w:val="32"/>
          <w:szCs w:val="32"/>
          <w:shd w:val="clear" w:color="auto" w:fill="FFFFFF"/>
          <w:lang w:val="en-US" w:eastAsia="zh-CN"/>
        </w:rPr>
        <w:t>5.76</w:t>
      </w:r>
      <w:r>
        <w:rPr>
          <w:rFonts w:hint="eastAsia" w:ascii="仿宋_GB2312" w:eastAsia="仿宋_GB2312" w:cs="仿宋_GB2312"/>
          <w:kern w:val="0"/>
          <w:sz w:val="32"/>
          <w:szCs w:val="32"/>
          <w:shd w:val="clear" w:color="auto" w:fill="FFFFFF"/>
        </w:rPr>
        <w:t>万元、</w:t>
      </w:r>
      <w:r>
        <w:rPr>
          <w:rFonts w:hint="eastAsia" w:ascii="仿宋_GB2312" w:hAnsi="仿宋_GB2312" w:eastAsia="仿宋_GB2312" w:cs="仿宋_GB2312"/>
          <w:sz w:val="32"/>
          <w:szCs w:val="32"/>
        </w:rPr>
        <w:t>其他商品和服务支出</w:t>
      </w:r>
      <w:r>
        <w:rPr>
          <w:rFonts w:hint="eastAsia" w:ascii="仿宋_GB2312" w:hAnsi="仿宋_GB2312" w:eastAsia="仿宋_GB2312" w:cs="仿宋_GB2312"/>
          <w:sz w:val="32"/>
          <w:szCs w:val="32"/>
          <w:lang w:val="en-US" w:eastAsia="zh-CN"/>
        </w:rPr>
        <w:t>1.37</w:t>
      </w:r>
      <w:r>
        <w:rPr>
          <w:rFonts w:hint="eastAsia" w:ascii="仿宋_GB2312" w:hAnsi="仿宋_GB2312" w:eastAsia="仿宋_GB2312" w:cs="仿宋_GB2312"/>
          <w:kern w:val="0"/>
          <w:sz w:val="32"/>
          <w:szCs w:val="32"/>
          <w:shd w:val="clear" w:color="auto" w:fill="FFFFFF"/>
        </w:rPr>
        <w:t>万元。</w:t>
      </w:r>
    </w:p>
    <w:p>
      <w:pPr>
        <w:pStyle w:val="17"/>
        <w:ind w:left="420" w:firstLine="420"/>
      </w:pPr>
    </w:p>
    <w:p>
      <w:pPr>
        <w:tabs>
          <w:tab w:val="right" w:pos="8306"/>
        </w:tabs>
        <w:spacing w:line="600" w:lineRule="exact"/>
        <w:ind w:left="640"/>
        <w:outlineLvl w:val="1"/>
        <w:rPr>
          <w:rFonts w:ascii="黑体" w:eastAsia="黑体" w:cs="黑体"/>
          <w:color w:val="000000"/>
          <w:sz w:val="32"/>
          <w:szCs w:val="32"/>
        </w:rPr>
      </w:pPr>
      <w:bookmarkStart w:id="63" w:name="_Toc6733"/>
      <w:bookmarkStart w:id="64" w:name="_Toc83062178"/>
      <w:r>
        <w:rPr>
          <w:rFonts w:hint="eastAsia" w:ascii="黑体" w:eastAsia="黑体" w:cs="黑体"/>
          <w:color w:val="000000"/>
          <w:sz w:val="32"/>
          <w:szCs w:val="32"/>
        </w:rPr>
        <w:t>七、财政拨款“三公”经费支出决算情况说明</w:t>
      </w:r>
      <w:bookmarkEnd w:id="61"/>
      <w:bookmarkEnd w:id="62"/>
      <w:bookmarkEnd w:id="63"/>
      <w:bookmarkEnd w:id="64"/>
    </w:p>
    <w:p>
      <w:pPr>
        <w:pStyle w:val="17"/>
        <w:ind w:left="640" w:leftChars="0" w:firstLine="0" w:firstLineChars="0"/>
      </w:pPr>
    </w:p>
    <w:p>
      <w:pPr>
        <w:spacing w:line="600" w:lineRule="exact"/>
        <w:ind w:firstLine="643" w:firstLineChars="200"/>
        <w:outlineLvl w:val="2"/>
        <w:rPr>
          <w:rFonts w:ascii="楷体_GB2312" w:eastAsia="楷体_GB2312" w:cs="楷体_GB2312"/>
          <w:b/>
          <w:bCs/>
          <w:color w:val="000000"/>
          <w:sz w:val="32"/>
          <w:szCs w:val="32"/>
        </w:rPr>
      </w:pPr>
      <w:bookmarkStart w:id="65" w:name="_Toc27509"/>
      <w:bookmarkStart w:id="66" w:name="_Toc83062179"/>
      <w:r>
        <w:rPr>
          <w:rFonts w:hint="eastAsia" w:ascii="楷体_GB2312" w:eastAsia="楷体_GB2312" w:cs="楷体_GB2312"/>
          <w:b/>
          <w:bCs/>
          <w:color w:val="000000"/>
          <w:sz w:val="32"/>
          <w:szCs w:val="32"/>
        </w:rPr>
        <w:t>（一）</w:t>
      </w:r>
      <w:r>
        <w:rPr>
          <w:rFonts w:hint="eastAsia" w:ascii="仿宋_GB2312" w:hAnsi="仿宋_GB2312" w:eastAsia="仿宋_GB2312" w:cs="仿宋_GB2312"/>
          <w:b/>
          <w:bCs/>
          <w:color w:val="000000"/>
          <w:sz w:val="32"/>
          <w:szCs w:val="32"/>
        </w:rPr>
        <w:t>“三公”经费财政拨款支出决算总体情况说明</w:t>
      </w:r>
      <w:bookmarkEnd w:id="65"/>
      <w:bookmarkEnd w:id="66"/>
    </w:p>
    <w:p>
      <w:pPr>
        <w:pStyle w:val="17"/>
        <w:ind w:left="840" w:leftChars="400" w:firstLine="0" w:firstLineChars="0"/>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sz w:val="32"/>
          <w:szCs w:val="32"/>
        </w:rPr>
        <w:t>2024年度“三公”经费财政拨款支出决算为8.76万元，完成预算94.66%，</w:t>
      </w:r>
      <w:r>
        <w:rPr>
          <w:rFonts w:hint="eastAsia" w:ascii="仿宋_GB2312" w:hAnsi="仿宋_GB2312" w:eastAsia="仿宋_GB2312" w:cs="仿宋_GB2312"/>
          <w:kern w:val="0"/>
          <w:sz w:val="32"/>
          <w:szCs w:val="32"/>
          <w:shd w:val="clear" w:color="auto" w:fill="FFFFFF"/>
          <w:lang w:val="en-US" w:eastAsia="zh-CN"/>
        </w:rPr>
        <w:t>较上年增加2.02万元</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增长29.98%。</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val="en-US" w:eastAsia="zh-CN"/>
        </w:rPr>
        <w:t>小</w:t>
      </w:r>
      <w:r>
        <w:rPr>
          <w:rFonts w:hint="eastAsia" w:ascii="仿宋_GB2312" w:hAnsi="仿宋_GB2312" w:eastAsia="仿宋_GB2312" w:cs="仿宋_GB2312"/>
          <w:color w:val="000000"/>
          <w:sz w:val="32"/>
          <w:szCs w:val="32"/>
        </w:rPr>
        <w:t>于预算数的主要原因是</w:t>
      </w:r>
      <w:r>
        <w:rPr>
          <w:rFonts w:hint="eastAsia" w:ascii="仿宋_GB2312" w:hAnsi="仿宋_GB2312" w:eastAsia="仿宋_GB2312" w:cs="仿宋_GB2312"/>
          <w:color w:val="000000"/>
          <w:sz w:val="32"/>
          <w:szCs w:val="32"/>
          <w:lang w:val="en-US" w:eastAsia="zh-CN"/>
        </w:rPr>
        <w:t>我单位2024年度</w:t>
      </w:r>
      <w:r>
        <w:rPr>
          <w:rFonts w:hint="eastAsia" w:ascii="仿宋_GB2312" w:hAnsi="仿宋_GB2312" w:eastAsia="仿宋_GB2312" w:cs="仿宋_GB2312"/>
          <w:sz w:val="32"/>
          <w:szCs w:val="32"/>
        </w:rPr>
        <w:t>贯彻落实“过紧日子”要求和厉行节约各项规定，严格控制“三公”经费支出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没有</w:t>
      </w:r>
      <w:r>
        <w:rPr>
          <w:rFonts w:hint="eastAsia" w:ascii="仿宋_GB2312" w:hAnsi="仿宋_GB2312" w:eastAsia="仿宋_GB2312" w:cs="仿宋_GB2312"/>
          <w:kern w:val="0"/>
          <w:sz w:val="32"/>
          <w:szCs w:val="32"/>
          <w:shd w:val="clear" w:color="auto" w:fill="FFFFFF"/>
        </w:rPr>
        <w:t>公务接待费支出</w:t>
      </w:r>
      <w:r>
        <w:rPr>
          <w:rFonts w:hint="eastAsia" w:ascii="仿宋_GB2312" w:hAnsi="仿宋_GB2312" w:eastAsia="仿宋_GB2312" w:cs="仿宋_GB2312"/>
          <w:kern w:val="0"/>
          <w:sz w:val="32"/>
          <w:szCs w:val="32"/>
          <w:shd w:val="clear" w:color="auto" w:fill="FFFFFF"/>
          <w:lang w:eastAsia="zh-CN"/>
        </w:rPr>
        <w:t>。</w:t>
      </w:r>
    </w:p>
    <w:p>
      <w:pPr>
        <w:pStyle w:val="2"/>
        <w:rPr>
          <w:rFonts w:hint="eastAsia"/>
          <w:lang w:val="en-US" w:eastAsia="zh-CN"/>
        </w:rPr>
      </w:pPr>
    </w:p>
    <w:p>
      <w:pPr>
        <w:pStyle w:val="17"/>
        <w:ind w:left="420" w:firstLine="420"/>
      </w:pPr>
    </w:p>
    <w:p>
      <w:pPr>
        <w:numPr>
          <w:ilvl w:val="0"/>
          <w:numId w:val="4"/>
        </w:numPr>
        <w:spacing w:line="600" w:lineRule="exact"/>
        <w:ind w:firstLine="643" w:firstLineChars="200"/>
        <w:outlineLvl w:val="2"/>
        <w:rPr>
          <w:rFonts w:hint="eastAsia" w:ascii="仿宋_GB2312" w:hAnsi="仿宋_GB2312" w:eastAsia="仿宋_GB2312" w:cs="仿宋_GB2312"/>
          <w:b/>
          <w:bCs/>
          <w:color w:val="000000"/>
          <w:sz w:val="32"/>
          <w:szCs w:val="32"/>
        </w:rPr>
      </w:pPr>
      <w:bookmarkStart w:id="67" w:name="_Toc83062180"/>
      <w:bookmarkStart w:id="68" w:name="_Toc15377217"/>
      <w:bookmarkStart w:id="69" w:name="_Toc9478"/>
      <w:r>
        <w:rPr>
          <w:rFonts w:hint="eastAsia" w:ascii="仿宋_GB2312" w:hAnsi="仿宋_GB2312" w:eastAsia="仿宋_GB2312" w:cs="仿宋_GB2312"/>
          <w:b/>
          <w:bCs/>
          <w:color w:val="000000"/>
          <w:sz w:val="32"/>
          <w:szCs w:val="32"/>
        </w:rPr>
        <w:t>“三公”经费财政拨款支出决算具体情况说明</w:t>
      </w:r>
      <w:bookmarkEnd w:id="67"/>
      <w:bookmarkEnd w:id="68"/>
      <w:bookmarkEnd w:id="69"/>
    </w:p>
    <w:p>
      <w:pPr>
        <w:pStyle w:val="17"/>
        <w:ind w:left="840" w:leftChars="400" w:firstLine="0" w:firstLineChars="0"/>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年度“三公”经费财政拨款支出决算中，因公出国（境）费支出决算</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b/>
          <w:sz w:val="32"/>
          <w:szCs w:val="32"/>
          <w:lang w:val="en-US" w:eastAsia="zh-CN"/>
        </w:rPr>
        <w:t>8.76</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%。具体情况如下：</w:t>
      </w:r>
    </w:p>
    <w:p>
      <w:pPr>
        <w:spacing w:line="360" w:lineRule="auto"/>
        <w:ind w:firstLine="640" w:firstLineChars="200"/>
        <w:rPr>
          <w:rFonts w:ascii="仿宋_GB2312" w:eastAsia="仿宋_GB2312" w:cs="仿宋_GB2312"/>
          <w:color w:val="000000"/>
          <w:sz w:val="32"/>
          <w:szCs w:val="32"/>
        </w:rPr>
      </w:pPr>
    </w:p>
    <w:p>
      <w:pPr>
        <w:pStyle w:val="6"/>
        <w:spacing w:before="93" w:beforeLines="0"/>
        <w:jc w:val="center"/>
        <w:rPr>
          <w:rFonts w:cs="Times New Roman"/>
        </w:rPr>
      </w:pPr>
      <w:r>
        <w:drawing>
          <wp:inline distT="0" distB="0" distL="114300" distR="114300">
            <wp:extent cx="5271135" cy="3559175"/>
            <wp:effectExtent l="4445" t="4445" r="20320" b="17780"/>
            <wp:docPr id="7" name="图表 6" descr="7b0a202020202263686172745265734964223a202232303437323230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pStyle w:val="6"/>
        <w:spacing w:before="93" w:beforeLines="0"/>
        <w:jc w:val="center"/>
        <w:rPr>
          <w:rFonts w:ascii="仿宋" w:eastAsia="仿宋" w:cs="仿宋"/>
          <w:sz w:val="32"/>
          <w:szCs w:val="32"/>
        </w:rPr>
      </w:pPr>
      <w:r>
        <w:rPr>
          <w:rFonts w:hint="eastAsia" w:ascii="仿宋" w:eastAsia="仿宋" w:cs="仿宋"/>
          <w:sz w:val="32"/>
          <w:szCs w:val="32"/>
        </w:rPr>
        <w:t>（图</w:t>
      </w:r>
      <w:r>
        <w:rPr>
          <w:rFonts w:ascii="仿宋" w:eastAsia="仿宋" w:cs="仿宋"/>
          <w:sz w:val="32"/>
          <w:szCs w:val="32"/>
        </w:rPr>
        <w:t>7</w:t>
      </w:r>
      <w:r>
        <w:rPr>
          <w:rFonts w:hint="eastAsia" w:ascii="仿宋" w:eastAsia="仿宋" w:cs="仿宋"/>
          <w:sz w:val="32"/>
          <w:szCs w:val="32"/>
        </w:rPr>
        <w:t>：“三公”经费财政拨款支出结构）</w:t>
      </w:r>
    </w:p>
    <w:p>
      <w:pPr>
        <w:pStyle w:val="6"/>
        <w:spacing w:before="93" w:beforeLines="0"/>
        <w:jc w:val="center"/>
        <w:rPr>
          <w:rFonts w:ascii="仿宋" w:eastAsia="仿宋" w:cs="仿宋"/>
          <w:sz w:val="32"/>
          <w:szCs w:val="32"/>
        </w:rPr>
      </w:pPr>
    </w:p>
    <w:p>
      <w:pPr>
        <w:numPr>
          <w:ilvl w:val="0"/>
          <w:numId w:val="5"/>
        </w:numPr>
        <w:spacing w:line="360" w:lineRule="auto"/>
        <w:ind w:firstLine="643" w:firstLineChars="200"/>
        <w:rPr>
          <w:rFonts w:ascii="仿宋_GB2312" w:eastAsia="仿宋_GB2312" w:cs="仿宋_GB2312"/>
          <w:color w:val="000000"/>
          <w:sz w:val="32"/>
          <w:szCs w:val="32"/>
        </w:rPr>
      </w:pPr>
      <w:r>
        <w:rPr>
          <w:rFonts w:hint="eastAsia" w:ascii="仿宋_GB2312" w:eastAsia="仿宋_GB2312" w:cs="仿宋_GB2312"/>
          <w:b/>
          <w:bCs/>
          <w:color w:val="000000"/>
          <w:sz w:val="32"/>
          <w:szCs w:val="32"/>
        </w:rPr>
        <w:t>因公出国（境）经费支出0</w:t>
      </w:r>
      <w:r>
        <w:rPr>
          <w:rFonts w:hint="eastAsia" w:ascii="仿宋_GB2312" w:eastAsia="仿宋_GB2312" w:cs="仿宋_GB2312"/>
          <w:color w:val="000000"/>
          <w:sz w:val="32"/>
          <w:szCs w:val="32"/>
        </w:rPr>
        <w:t>万元，</w:t>
      </w:r>
      <w:r>
        <w:rPr>
          <w:rStyle w:val="20"/>
          <w:rFonts w:hint="eastAsia" w:ascii="仿宋_GB2312" w:eastAsia="仿宋_GB2312" w:cs="仿宋_GB2312"/>
          <w:b w:val="0"/>
          <w:bCs w:val="0"/>
          <w:color w:val="000000"/>
          <w:sz w:val="32"/>
          <w:szCs w:val="32"/>
        </w:rPr>
        <w:t>完成预算</w:t>
      </w:r>
      <w:r>
        <w:rPr>
          <w:rStyle w:val="20"/>
          <w:rFonts w:hint="eastAsia" w:ascii="仿宋_GB2312" w:eastAsia="仿宋_GB2312" w:cs="仿宋_GB2312"/>
          <w:b/>
          <w:bCs/>
          <w:color w:val="000000"/>
          <w:sz w:val="32"/>
          <w:szCs w:val="32"/>
        </w:rPr>
        <w:t>0</w:t>
      </w:r>
      <w:r>
        <w:rPr>
          <w:rStyle w:val="20"/>
          <w:rFonts w:hint="eastAsia" w:ascii="仿宋_GB2312" w:eastAsia="仿宋_GB2312" w:cs="仿宋_GB2312"/>
          <w:b w:val="0"/>
          <w:bCs w:val="0"/>
          <w:color w:val="000000"/>
          <w:sz w:val="32"/>
          <w:szCs w:val="32"/>
        </w:rPr>
        <w:t>%。</w:t>
      </w:r>
      <w:r>
        <w:rPr>
          <w:rFonts w:hint="eastAsia" w:ascii="仿宋_GB2312" w:eastAsia="仿宋_GB2312" w:cs="仿宋_GB2312"/>
          <w:color w:val="000000"/>
          <w:sz w:val="32"/>
          <w:szCs w:val="32"/>
        </w:rPr>
        <w:t>全年安排因公出国（境）团组0次，出国（境）0人。因公出国（境）支出决算同202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w:t>
      </w:r>
      <w:r>
        <w:rPr>
          <w:rFonts w:hint="eastAsia" w:ascii="仿宋_GB2312" w:hAnsi="仿宋_GB2312" w:eastAsia="仿宋_GB2312" w:cs="仿宋_GB2312"/>
          <w:sz w:val="32"/>
          <w:szCs w:val="32"/>
        </w:rPr>
        <w:t>度</w:t>
      </w:r>
      <w:r>
        <w:rPr>
          <w:rFonts w:hint="eastAsia" w:ascii="仿宋_GB2312" w:eastAsia="仿宋_GB2312" w:cs="仿宋_GB2312"/>
          <w:color w:val="000000"/>
          <w:sz w:val="32"/>
          <w:szCs w:val="32"/>
        </w:rPr>
        <w:t>持平。主要原因是我单位</w:t>
      </w:r>
      <w:r>
        <w:rPr>
          <w:rFonts w:ascii="仿宋_GB2312" w:eastAsia="仿宋_GB2312" w:cs="仿宋_GB2312"/>
          <w:sz w:val="32"/>
          <w:szCs w:val="32"/>
          <w:shd w:val="clear" w:color="auto" w:fill="FFFFFF"/>
        </w:rPr>
        <w:t>不涉及</w:t>
      </w:r>
      <w:r>
        <w:rPr>
          <w:rFonts w:hint="eastAsia" w:ascii="仿宋_GB2312" w:eastAsia="仿宋_GB2312" w:cs="仿宋_GB2312"/>
          <w:color w:val="000000"/>
          <w:sz w:val="32"/>
          <w:szCs w:val="32"/>
        </w:rPr>
        <w:t>因公出国（境）业务。</w:t>
      </w:r>
    </w:p>
    <w:p>
      <w:pPr>
        <w:pStyle w:val="17"/>
        <w:spacing w:after="0" w:line="360" w:lineRule="auto"/>
        <w:ind w:left="0" w:leftChars="0" w:firstLine="420"/>
      </w:pP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color w:val="000000"/>
          <w:sz w:val="32"/>
          <w:szCs w:val="32"/>
        </w:rPr>
      </w:pPr>
      <w:r>
        <w:rPr>
          <w:rFonts w:ascii="仿宋_GB2312" w:eastAsia="仿宋_GB2312" w:cs="仿宋_GB2312"/>
          <w:b/>
          <w:bCs/>
          <w:color w:val="000000"/>
          <w:sz w:val="32"/>
          <w:szCs w:val="32"/>
        </w:rPr>
        <w:t>2.公务用车购置及运行维护费支出</w:t>
      </w:r>
      <w:r>
        <w:rPr>
          <w:rFonts w:hint="eastAsia" w:ascii="仿宋_GB2312" w:eastAsia="仿宋_GB2312" w:cs="仿宋_GB2312"/>
          <w:b/>
          <w:bCs/>
          <w:color w:val="000000"/>
          <w:sz w:val="32"/>
          <w:szCs w:val="32"/>
          <w:lang w:val="en-US" w:eastAsia="zh-CN"/>
        </w:rPr>
        <w:t>8.76</w:t>
      </w:r>
      <w:r>
        <w:rPr>
          <w:rFonts w:ascii="仿宋_GB2312" w:eastAsia="仿宋_GB2312" w:cs="仿宋_GB2312"/>
          <w:color w:val="000000"/>
          <w:sz w:val="32"/>
          <w:szCs w:val="32"/>
        </w:rPr>
        <w:t>万元,</w:t>
      </w:r>
      <w:r>
        <w:rPr>
          <w:rStyle w:val="20"/>
          <w:rFonts w:ascii="仿宋_GB2312" w:eastAsia="仿宋_GB2312" w:cs="仿宋_GB2312"/>
          <w:b w:val="0"/>
          <w:bCs w:val="0"/>
          <w:color w:val="000000"/>
          <w:sz w:val="32"/>
          <w:szCs w:val="32"/>
        </w:rPr>
        <w:t>完成预算</w:t>
      </w:r>
      <w:r>
        <w:rPr>
          <w:rFonts w:ascii="仿宋" w:hAnsi="仿宋" w:eastAsia="仿宋"/>
          <w:b/>
          <w:sz w:val="32"/>
          <w:szCs w:val="32"/>
        </w:rPr>
        <w:t>9</w:t>
      </w:r>
      <w:r>
        <w:rPr>
          <w:rFonts w:hint="eastAsia" w:ascii="仿宋" w:hAnsi="仿宋" w:eastAsia="仿宋"/>
          <w:b/>
          <w:sz w:val="32"/>
          <w:szCs w:val="32"/>
          <w:lang w:val="en-US" w:eastAsia="zh-CN"/>
        </w:rPr>
        <w:t>4.66</w:t>
      </w:r>
      <w:r>
        <w:rPr>
          <w:rStyle w:val="20"/>
          <w:rFonts w:ascii="仿宋_GB2312" w:eastAsia="仿宋_GB2312" w:cs="仿宋_GB2312"/>
          <w:b/>
          <w:bCs/>
          <w:color w:val="000000"/>
          <w:sz w:val="32"/>
          <w:szCs w:val="32"/>
        </w:rPr>
        <w:t>%</w:t>
      </w:r>
      <w:r>
        <w:rPr>
          <w:rStyle w:val="20"/>
          <w:rFonts w:ascii="仿宋_GB2312" w:eastAsia="仿宋_GB2312" w:cs="仿宋_GB2312"/>
          <w:b w:val="0"/>
          <w:bCs w:val="0"/>
          <w:color w:val="000000"/>
          <w:sz w:val="32"/>
          <w:szCs w:val="32"/>
        </w:rPr>
        <w:t>。</w:t>
      </w:r>
      <w:r>
        <w:rPr>
          <w:rFonts w:ascii="仿宋_GB2312" w:eastAsia="仿宋_GB2312" w:cs="仿宋_GB2312"/>
          <w:color w:val="000000"/>
          <w:sz w:val="32"/>
          <w:szCs w:val="32"/>
        </w:rPr>
        <w:t>公务用车购置及运行维护费支出决算比202</w:t>
      </w:r>
      <w:r>
        <w:rPr>
          <w:rFonts w:hint="eastAsia" w:ascii="仿宋_GB2312" w:eastAsia="仿宋_GB2312" w:cs="仿宋_GB2312"/>
          <w:color w:val="000000"/>
          <w:sz w:val="32"/>
          <w:szCs w:val="32"/>
          <w:lang w:val="en-US" w:eastAsia="zh-CN"/>
        </w:rPr>
        <w:t>3</w:t>
      </w:r>
      <w:r>
        <w:rPr>
          <w:rFonts w:ascii="仿宋_GB2312" w:eastAsia="仿宋_GB2312" w:cs="仿宋_GB2312"/>
          <w:color w:val="000000"/>
          <w:sz w:val="32"/>
          <w:szCs w:val="32"/>
        </w:rPr>
        <w:t>年</w:t>
      </w:r>
      <w:r>
        <w:rPr>
          <w:rFonts w:hint="eastAsia" w:ascii="仿宋_GB2312" w:hAnsi="仿宋_GB2312" w:eastAsia="仿宋_GB2312" w:cs="仿宋_GB2312"/>
          <w:sz w:val="32"/>
          <w:szCs w:val="32"/>
        </w:rPr>
        <w:t>度</w:t>
      </w:r>
      <w:r>
        <w:rPr>
          <w:rFonts w:ascii="仿宋_GB2312" w:eastAsia="仿宋_GB2312" w:cs="仿宋_GB2312"/>
          <w:color w:val="000000"/>
          <w:sz w:val="32"/>
          <w:szCs w:val="32"/>
        </w:rPr>
        <w:t>增加</w:t>
      </w:r>
      <w:r>
        <w:rPr>
          <w:rFonts w:hint="eastAsia" w:ascii="仿宋_GB2312" w:eastAsia="仿宋_GB2312" w:cs="仿宋_GB2312"/>
          <w:color w:val="000000"/>
          <w:sz w:val="32"/>
          <w:szCs w:val="32"/>
          <w:lang w:val="en-US" w:eastAsia="zh-CN"/>
        </w:rPr>
        <w:t>2.02</w:t>
      </w:r>
      <w:r>
        <w:rPr>
          <w:rFonts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29.98</w:t>
      </w:r>
      <w:r>
        <w:rPr>
          <w:rFonts w:ascii="仿宋_GB2312" w:eastAsia="仿宋_GB2312" w:cs="仿宋_GB2312"/>
          <w:color w:val="000000"/>
          <w:sz w:val="32"/>
          <w:szCs w:val="32"/>
        </w:rPr>
        <w:t>%。主要原因是</w:t>
      </w:r>
      <w:r>
        <w:rPr>
          <w:rFonts w:hint="eastAsia" w:ascii="仿宋_GB2312" w:eastAsia="仿宋_GB2312" w:cs="仿宋_GB2312"/>
          <w:color w:val="000000"/>
          <w:sz w:val="32"/>
          <w:szCs w:val="32"/>
          <w:lang w:val="en-US" w:eastAsia="zh-CN"/>
        </w:rPr>
        <w:t>2024年度</w:t>
      </w:r>
      <w:r>
        <w:rPr>
          <w:rFonts w:hint="eastAsia" w:ascii="仿宋_GB2312" w:eastAsia="仿宋_GB2312" w:cs="仿宋_GB2312"/>
          <w:color w:val="000000"/>
          <w:sz w:val="32"/>
          <w:szCs w:val="32"/>
        </w:rPr>
        <w:t>公务用车购置及运行维护费支出</w:t>
      </w:r>
      <w:r>
        <w:rPr>
          <w:rFonts w:hint="eastAsia" w:ascii="仿宋_GB2312" w:eastAsia="仿宋_GB2312" w:cs="仿宋_GB2312"/>
          <w:color w:val="000000"/>
          <w:sz w:val="32"/>
          <w:szCs w:val="32"/>
          <w:lang w:val="en-US" w:eastAsia="zh-CN"/>
        </w:rPr>
        <w:t>用于</w:t>
      </w:r>
      <w:r>
        <w:rPr>
          <w:rFonts w:hint="eastAsia" w:ascii="仿宋_GB2312" w:hAnsi="仿宋_GB2312" w:eastAsia="仿宋_GB2312" w:cs="仿宋_GB2312"/>
          <w:color w:val="000000"/>
          <w:sz w:val="32"/>
          <w:szCs w:val="32"/>
          <w:lang w:val="en-US" w:eastAsia="zh-CN"/>
        </w:rPr>
        <w:t>开展</w:t>
      </w:r>
      <w:r>
        <w:rPr>
          <w:rFonts w:hint="eastAsia" w:ascii="仿宋_GB2312" w:hAnsi="仿宋_GB2312" w:eastAsia="仿宋_GB2312" w:cs="仿宋_GB2312"/>
          <w:sz w:val="32"/>
          <w:szCs w:val="32"/>
        </w:rPr>
        <w:t>社科课题项目科普条例的宣讲，社科科普活动，社科学术基地的考察、鉴定，社科联的联络、调研、工作指导，社科专家活动，各类学术活动开展，与</w:t>
      </w:r>
      <w:r>
        <w:rPr>
          <w:rFonts w:hint="eastAsia" w:ascii="仿宋_GB2312" w:hAnsi="仿宋_GB2312" w:eastAsia="仿宋_GB2312" w:cs="仿宋_GB2312"/>
          <w:color w:val="000000"/>
          <w:sz w:val="32"/>
          <w:szCs w:val="32"/>
          <w:lang w:val="en-US" w:eastAsia="zh-CN"/>
        </w:rPr>
        <w:t>日常工作所需用</w:t>
      </w:r>
      <w:r>
        <w:rPr>
          <w:rFonts w:hint="eastAsia" w:ascii="仿宋_GB2312" w:hAnsi="仿宋_GB2312" w:eastAsia="仿宋_GB2312" w:cs="仿宋_GB2312"/>
          <w:sz w:val="32"/>
          <w:szCs w:val="32"/>
        </w:rPr>
        <w:t>公务用车燃料费、维修费、过路过桥费、保险费等相关支出</w:t>
      </w:r>
      <w:r>
        <w:rPr>
          <w:rFonts w:hint="eastAsia" w:ascii="仿宋_GB2312" w:hAnsi="仿宋_GB2312" w:eastAsia="仿宋_GB2312" w:cs="仿宋_GB2312"/>
          <w:color w:val="000000"/>
          <w:sz w:val="32"/>
          <w:szCs w:val="32"/>
        </w:rPr>
        <w:t>，所以公务用车购置及运行维护费</w:t>
      </w:r>
      <w:r>
        <w:rPr>
          <w:rFonts w:hint="eastAsia" w:ascii="仿宋_GB2312" w:hAnsi="仿宋_GB2312" w:eastAsia="仿宋_GB2312" w:cs="仿宋_GB2312"/>
          <w:color w:val="000000"/>
          <w:sz w:val="32"/>
          <w:szCs w:val="32"/>
          <w:lang w:val="en-US" w:eastAsia="zh-CN"/>
        </w:rPr>
        <w:t>比2023年度增加</w:t>
      </w:r>
      <w:r>
        <w:rPr>
          <w:rFonts w:hint="eastAsia" w:ascii="仿宋_GB2312" w:hAnsi="仿宋_GB2312" w:eastAsia="仿宋_GB2312" w:cs="仿宋_GB2312"/>
          <w:color w:val="000000"/>
          <w:sz w:val="32"/>
          <w:szCs w:val="32"/>
        </w:rPr>
        <w:t>。</w:t>
      </w:r>
    </w:p>
    <w:p>
      <w:pPr>
        <w:pStyle w:val="33"/>
        <w:widowControl/>
        <w:spacing w:before="0" w:beforeAutospacing="0" w:after="0" w:afterAutospacing="0" w:line="360" w:lineRule="auto"/>
        <w:ind w:firstLine="640" w:firstLineChars="200"/>
        <w:jc w:val="both"/>
        <w:rPr>
          <w:rFonts w:ascii="仿宋_GB2312" w:eastAsia="仿宋_GB2312" w:cs="仿宋_GB2312"/>
          <w:sz w:val="32"/>
          <w:szCs w:val="32"/>
          <w:shd w:val="solid" w:color="FFFFFF" w:fill="FFFFFF"/>
        </w:rPr>
      </w:pPr>
      <w:r>
        <w:rPr>
          <w:rFonts w:ascii="仿宋_GB2312" w:eastAsia="仿宋_GB2312" w:cs="仿宋_GB2312"/>
          <w:sz w:val="32"/>
          <w:szCs w:val="32"/>
          <w:shd w:val="clear" w:color="auto" w:fill="FFFFFF"/>
        </w:rPr>
        <w:t>其中：</w:t>
      </w:r>
      <w:r>
        <w:rPr>
          <w:rStyle w:val="28"/>
          <w:rFonts w:ascii="仿宋_GB2312" w:eastAsia="仿宋_GB2312" w:cs="仿宋_GB2312"/>
          <w:bCs w:val="0"/>
          <w:sz w:val="32"/>
          <w:szCs w:val="32"/>
          <w:shd w:val="clear" w:color="auto" w:fill="FFFFFF"/>
        </w:rPr>
        <w:t>公务用车购置支出</w:t>
      </w:r>
      <w:r>
        <w:rPr>
          <w:rFonts w:ascii="仿宋_GB2312" w:eastAsia="仿宋_GB2312" w:cs="仿宋_GB2312"/>
          <w:b/>
          <w:bCs/>
          <w:sz w:val="32"/>
          <w:szCs w:val="32"/>
          <w:shd w:val="clear" w:color="auto" w:fill="FFFFFF"/>
        </w:rPr>
        <w:t>0</w:t>
      </w:r>
      <w:r>
        <w:rPr>
          <w:rFonts w:ascii="仿宋_GB2312" w:eastAsia="仿宋_GB2312" w:cs="仿宋_GB2312"/>
          <w:sz w:val="32"/>
          <w:szCs w:val="32"/>
          <w:shd w:val="clear" w:color="auto" w:fill="FFFFFF"/>
        </w:rPr>
        <w:t>万元。全年按规定未更新购置公务用车。截至202</w:t>
      </w:r>
      <w:r>
        <w:rPr>
          <w:rFonts w:hint="eastAsia" w:ascii="仿宋_GB2312" w:eastAsia="仿宋_GB2312" w:cs="仿宋_GB2312"/>
          <w:sz w:val="32"/>
          <w:szCs w:val="32"/>
          <w:shd w:val="clear" w:color="auto" w:fill="FFFFFF"/>
          <w:lang w:val="en-US" w:eastAsia="zh-CN"/>
        </w:rPr>
        <w:t>4</w:t>
      </w:r>
      <w:r>
        <w:rPr>
          <w:rFonts w:ascii="仿宋_GB2312" w:eastAsia="仿宋_GB2312" w:cs="仿宋_GB2312"/>
          <w:sz w:val="32"/>
          <w:szCs w:val="32"/>
          <w:shd w:val="clear" w:color="auto" w:fill="FFFFFF"/>
        </w:rPr>
        <w:t>年12月</w:t>
      </w:r>
      <w:r>
        <w:rPr>
          <w:rFonts w:hint="eastAsia" w:ascii="仿宋_GB2312" w:eastAsia="仿宋_GB2312" w:cs="仿宋_GB2312"/>
          <w:sz w:val="32"/>
          <w:szCs w:val="32"/>
          <w:shd w:val="clear" w:color="auto" w:fill="FFFFFF"/>
          <w:lang w:val="en-US" w:eastAsia="zh-CN"/>
        </w:rPr>
        <w:t>31日</w:t>
      </w:r>
      <w:r>
        <w:rPr>
          <w:rFonts w:ascii="仿宋_GB2312" w:eastAsia="仿宋_GB2312" w:cs="仿宋_GB2312"/>
          <w:sz w:val="32"/>
          <w:szCs w:val="32"/>
          <w:shd w:val="clear" w:color="auto" w:fill="FFFFFF"/>
        </w:rPr>
        <w:t>，</w:t>
      </w:r>
      <w:r>
        <w:rPr>
          <w:rFonts w:ascii="仿宋_GB2312" w:eastAsia="仿宋_GB2312" w:cs="仿宋_GB2312"/>
          <w:sz w:val="32"/>
          <w:szCs w:val="32"/>
          <w:shd w:val="solid" w:color="FFFFFF" w:fill="FFFFFF"/>
        </w:rPr>
        <w:t>单位共有公务用车</w:t>
      </w:r>
      <w:r>
        <w:rPr>
          <w:rFonts w:hint="eastAsia" w:ascii="仿宋_GB2312" w:eastAsia="仿宋_GB2312" w:cs="仿宋_GB2312"/>
          <w:sz w:val="32"/>
          <w:szCs w:val="32"/>
          <w:shd w:val="solid" w:color="FFFFFF" w:fill="FFFFFF"/>
          <w:lang w:val="en-US" w:eastAsia="zh-CN"/>
        </w:rPr>
        <w:t>1</w:t>
      </w:r>
      <w:r>
        <w:rPr>
          <w:rFonts w:ascii="仿宋_GB2312" w:eastAsia="仿宋_GB2312" w:cs="仿宋_GB2312"/>
          <w:sz w:val="32"/>
          <w:szCs w:val="32"/>
          <w:shd w:val="solid" w:color="FFFFFF" w:fill="FFFFFF"/>
        </w:rPr>
        <w:t>辆</w:t>
      </w:r>
      <w:r>
        <w:rPr>
          <w:rFonts w:hint="eastAsia" w:ascii="仿宋_GB2312" w:eastAsia="仿宋_GB2312" w:cs="仿宋_GB2312"/>
          <w:sz w:val="32"/>
          <w:szCs w:val="32"/>
          <w:shd w:val="solid" w:color="FFFFFF" w:fill="FFFFFF"/>
          <w:lang w:eastAsia="zh-CN"/>
        </w:rPr>
        <w:t>。</w:t>
      </w:r>
      <w:r>
        <w:rPr>
          <w:rFonts w:ascii="仿宋_GB2312" w:eastAsia="仿宋_GB2312" w:cs="仿宋_GB2312"/>
          <w:sz w:val="32"/>
          <w:szCs w:val="32"/>
          <w:shd w:val="solid" w:color="FFFFFF" w:fill="FFFFFF"/>
        </w:rPr>
        <w:t>其中：越野车1辆。</w:t>
      </w:r>
    </w:p>
    <w:p>
      <w:pPr>
        <w:pStyle w:val="33"/>
        <w:widowControl/>
        <w:spacing w:before="0" w:beforeAutospacing="0" w:after="0" w:afterAutospacing="0" w:line="360" w:lineRule="auto"/>
        <w:ind w:firstLine="643" w:firstLineChars="200"/>
        <w:jc w:val="both"/>
        <w:rPr>
          <w:rFonts w:cs="宋体"/>
          <w:sz w:val="32"/>
          <w:szCs w:val="32"/>
        </w:rPr>
      </w:pPr>
      <w:r>
        <w:rPr>
          <w:rStyle w:val="28"/>
          <w:rFonts w:ascii="仿宋_GB2312" w:eastAsia="仿宋_GB2312" w:cs="仿宋_GB2312"/>
          <w:bCs w:val="0"/>
          <w:sz w:val="32"/>
          <w:szCs w:val="32"/>
          <w:shd w:val="clear" w:color="auto" w:fill="FFFFFF"/>
        </w:rPr>
        <w:t>公务用车运行维护费支出</w:t>
      </w:r>
      <w:r>
        <w:rPr>
          <w:rFonts w:hint="eastAsia" w:ascii="仿宋_GB2312" w:eastAsia="仿宋_GB2312" w:cs="仿宋_GB2312"/>
          <w:b/>
          <w:bCs/>
          <w:color w:val="000000"/>
          <w:sz w:val="32"/>
          <w:szCs w:val="32"/>
          <w:lang w:val="en-US" w:eastAsia="zh-CN"/>
        </w:rPr>
        <w:t>8.76</w:t>
      </w:r>
      <w:r>
        <w:rPr>
          <w:rFonts w:ascii="仿宋_GB2312" w:eastAsia="仿宋_GB2312" w:cs="仿宋_GB2312"/>
          <w:sz w:val="32"/>
          <w:szCs w:val="32"/>
          <w:shd w:val="clear" w:color="auto" w:fill="FFFFFF"/>
        </w:rPr>
        <w:t>万元。主要用于</w:t>
      </w:r>
      <w:r>
        <w:rPr>
          <w:rFonts w:hint="eastAsia" w:ascii="仿宋_GB2312" w:eastAsia="仿宋_GB2312" w:cs="仿宋_GB2312"/>
          <w:sz w:val="32"/>
          <w:szCs w:val="32"/>
          <w:shd w:val="clear" w:color="auto" w:fill="FFFFFF"/>
          <w:lang w:val="en-US" w:eastAsia="zh-CN"/>
        </w:rPr>
        <w:t>我单位</w:t>
      </w:r>
      <w:r>
        <w:rPr>
          <w:rFonts w:hint="eastAsia" w:ascii="仿宋_GB2312" w:hAnsi="仿宋_GB2312" w:eastAsia="仿宋_GB2312" w:cs="仿宋_GB2312"/>
          <w:color w:val="000000"/>
          <w:sz w:val="32"/>
          <w:szCs w:val="32"/>
          <w:lang w:val="en-US" w:eastAsia="zh-CN"/>
        </w:rPr>
        <w:t>开展</w:t>
      </w:r>
      <w:r>
        <w:rPr>
          <w:rFonts w:hint="eastAsia" w:ascii="仿宋_GB2312" w:hAnsi="仿宋_GB2312" w:eastAsia="仿宋_GB2312" w:cs="仿宋_GB2312"/>
          <w:sz w:val="32"/>
          <w:szCs w:val="32"/>
        </w:rPr>
        <w:t>社科课题项目科普条例的宣讲，社科科普活动，社科学术基地的考察、鉴定，社科联的联络、调研、工作指导，社科专家活动，各类学术活动开展，与</w:t>
      </w:r>
      <w:r>
        <w:rPr>
          <w:rFonts w:hint="eastAsia" w:ascii="仿宋_GB2312" w:hAnsi="仿宋_GB2312" w:eastAsia="仿宋_GB2312" w:cs="仿宋_GB2312"/>
          <w:color w:val="000000"/>
          <w:sz w:val="32"/>
          <w:szCs w:val="32"/>
          <w:lang w:val="en-US" w:eastAsia="zh-CN"/>
        </w:rPr>
        <w:t>日常工作所需用</w:t>
      </w:r>
      <w:r>
        <w:rPr>
          <w:rFonts w:hint="eastAsia" w:ascii="仿宋_GB2312" w:hAnsi="仿宋_GB2312" w:eastAsia="仿宋_GB2312" w:cs="仿宋_GB2312"/>
          <w:sz w:val="32"/>
          <w:szCs w:val="32"/>
        </w:rPr>
        <w:t>公务用车燃料费、维修费、过路过桥费、保险费等相关支出</w:t>
      </w:r>
      <w:r>
        <w:rPr>
          <w:rFonts w:ascii="仿宋_GB2312" w:eastAsia="仿宋_GB2312" w:cs="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eastAsia="仿宋_GB2312" w:cs="仿宋_GB2312"/>
          <w:b/>
          <w:bCs/>
          <w:color w:val="000000"/>
          <w:sz w:val="32"/>
          <w:szCs w:val="32"/>
          <w:lang w:val="en-US" w:eastAsia="zh-CN"/>
        </w:rPr>
        <w:t>3.</w:t>
      </w:r>
      <w:r>
        <w:rPr>
          <w:rFonts w:ascii="仿宋_GB2312" w:eastAsia="仿宋_GB2312" w:cs="仿宋_GB2312"/>
          <w:b/>
          <w:bCs/>
          <w:color w:val="000000"/>
          <w:sz w:val="32"/>
          <w:szCs w:val="32"/>
        </w:rPr>
        <w:t>公务接待费支出</w:t>
      </w:r>
      <w:r>
        <w:rPr>
          <w:rFonts w:hint="eastAsia" w:ascii="仿宋_GB2312" w:eastAsia="仿宋_GB2312" w:cs="仿宋_GB2312"/>
          <w:b/>
          <w:bCs/>
          <w:color w:val="000000"/>
          <w:sz w:val="32"/>
          <w:szCs w:val="32"/>
          <w:lang w:val="en-US" w:eastAsia="zh-CN"/>
        </w:rPr>
        <w:t>0</w:t>
      </w:r>
      <w:r>
        <w:rPr>
          <w:rFonts w:ascii="仿宋_GB2312" w:eastAsia="仿宋_GB2312" w:cs="仿宋_GB2312"/>
          <w:color w:val="000000"/>
          <w:sz w:val="32"/>
          <w:szCs w:val="32"/>
        </w:rPr>
        <w:t>万元，</w:t>
      </w:r>
      <w:r>
        <w:rPr>
          <w:rStyle w:val="20"/>
          <w:rFonts w:ascii="仿宋_GB2312" w:eastAsia="仿宋_GB2312" w:cs="仿宋_GB2312"/>
          <w:b w:val="0"/>
          <w:bCs w:val="0"/>
          <w:color w:val="000000"/>
          <w:sz w:val="32"/>
          <w:szCs w:val="32"/>
        </w:rPr>
        <w:t>完成预算</w:t>
      </w:r>
      <w:r>
        <w:rPr>
          <w:rStyle w:val="20"/>
          <w:rFonts w:hint="eastAsia" w:ascii="仿宋_GB2312" w:eastAsia="仿宋_GB2312" w:cs="仿宋_GB2312"/>
          <w:b/>
          <w:bCs/>
          <w:color w:val="000000"/>
          <w:sz w:val="32"/>
          <w:szCs w:val="32"/>
          <w:lang w:val="en-US" w:eastAsia="zh-CN"/>
        </w:rPr>
        <w:t>0</w:t>
      </w:r>
      <w:r>
        <w:rPr>
          <w:rStyle w:val="20"/>
          <w:rFonts w:ascii="仿宋_GB2312" w:eastAsia="仿宋_GB2312" w:cs="仿宋_GB2312"/>
          <w:b w:val="0"/>
          <w:bCs w:val="0"/>
          <w:color w:val="000000"/>
          <w:sz w:val="32"/>
          <w:szCs w:val="32"/>
        </w:rPr>
        <w:t>%。</w:t>
      </w:r>
      <w:r>
        <w:rPr>
          <w:rFonts w:ascii="仿宋_GB2312" w:eastAsia="仿宋_GB2312" w:cs="仿宋_GB2312"/>
          <w:color w:val="000000"/>
          <w:sz w:val="32"/>
          <w:szCs w:val="32"/>
        </w:rPr>
        <w:t>公务接待费支出决算</w:t>
      </w:r>
      <w:r>
        <w:rPr>
          <w:rFonts w:hint="eastAsia" w:ascii="仿宋_GB2312" w:eastAsia="仿宋_GB2312" w:cs="仿宋_GB2312"/>
          <w:color w:val="000000"/>
          <w:sz w:val="32"/>
          <w:szCs w:val="32"/>
          <w:lang w:val="en-US" w:eastAsia="zh-CN"/>
        </w:rPr>
        <w:t>与</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3</w:t>
      </w:r>
      <w:r>
        <w:rPr>
          <w:rFonts w:asci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度</w:t>
      </w:r>
      <w:r>
        <w:rPr>
          <w:rFonts w:hint="eastAsia" w:ascii="仿宋_GB2312" w:eastAsia="仿宋_GB2312" w:cs="仿宋_GB2312"/>
          <w:color w:val="000000"/>
          <w:sz w:val="32"/>
          <w:szCs w:val="32"/>
          <w:lang w:val="en-US" w:eastAsia="zh-CN"/>
        </w:rPr>
        <w:t>持平</w:t>
      </w:r>
      <w:r>
        <w:rPr>
          <w:rFonts w:asci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val="en-US" w:eastAsia="zh-CN"/>
        </w:rPr>
        <w:t>我单位2024年度</w:t>
      </w:r>
      <w:r>
        <w:rPr>
          <w:rFonts w:hint="eastAsia" w:ascii="仿宋_GB2312" w:hAnsi="仿宋_GB2312" w:eastAsia="仿宋_GB2312" w:cs="仿宋_GB2312"/>
          <w:sz w:val="32"/>
          <w:szCs w:val="32"/>
        </w:rPr>
        <w:t>贯彻落实“过紧日子”要求和厉行节约各项规定，严格控制“三公”经费支出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没有</w:t>
      </w:r>
      <w:r>
        <w:rPr>
          <w:rFonts w:hint="eastAsia" w:ascii="仿宋_GB2312" w:eastAsia="仿宋_GB2312" w:cs="仿宋_GB2312"/>
          <w:kern w:val="0"/>
          <w:sz w:val="32"/>
          <w:szCs w:val="32"/>
          <w:shd w:val="clear" w:color="auto" w:fill="FFFFFF"/>
        </w:rPr>
        <w:t>公务接待费支出</w:t>
      </w:r>
      <w:r>
        <w:rPr>
          <w:rFonts w:hint="eastAsia" w:ascii="仿宋_GB2312" w:eastAsia="仿宋_GB2312" w:cs="仿宋_GB2312"/>
          <w:kern w:val="0"/>
          <w:sz w:val="32"/>
          <w:szCs w:val="32"/>
          <w:shd w:val="clear" w:color="auto" w:fill="FFFFFF"/>
          <w:lang w:eastAsia="zh-CN"/>
        </w:rPr>
        <w:t>。</w:t>
      </w:r>
    </w:p>
    <w:p>
      <w:pPr>
        <w:pStyle w:val="33"/>
        <w:widowControl/>
        <w:spacing w:before="0" w:beforeAutospacing="0" w:after="0" w:afterAutospacing="0" w:line="360" w:lineRule="auto"/>
        <w:ind w:firstLine="643" w:firstLineChars="200"/>
        <w:jc w:val="both"/>
        <w:rPr>
          <w:shd w:val="clear" w:color="auto" w:fill="FFFFFF"/>
        </w:rPr>
      </w:pPr>
      <w:r>
        <w:rPr>
          <w:rStyle w:val="28"/>
          <w:rFonts w:ascii="仿宋_GB2312" w:eastAsia="仿宋_GB2312" w:cs="仿宋_GB2312"/>
          <w:bCs w:val="0"/>
          <w:sz w:val="32"/>
          <w:szCs w:val="32"/>
          <w:shd w:val="clear" w:color="auto" w:fill="FFFFFF"/>
        </w:rPr>
        <w:t>国内公务接待支出</w:t>
      </w:r>
      <w:r>
        <w:rPr>
          <w:rFonts w:hint="eastAsia" w:ascii="仿宋_GB2312" w:eastAsia="仿宋_GB2312" w:cs="仿宋_GB2312"/>
          <w:b/>
          <w:bCs/>
          <w:sz w:val="32"/>
          <w:szCs w:val="32"/>
          <w:shd w:val="clear" w:color="auto" w:fill="FFFFFF"/>
          <w:lang w:val="en-US" w:eastAsia="zh-CN"/>
        </w:rPr>
        <w:t>0</w:t>
      </w:r>
      <w:r>
        <w:rPr>
          <w:rFonts w:ascii="仿宋_GB2312" w:eastAsia="仿宋_GB2312" w:cs="仿宋_GB2312"/>
          <w:sz w:val="32"/>
          <w:szCs w:val="32"/>
          <w:shd w:val="clear" w:color="auto" w:fill="FFFFFF"/>
        </w:rPr>
        <w:t>万元，主要用于开展业务活动公务用餐费用。国内公务接待</w:t>
      </w:r>
      <w:r>
        <w:rPr>
          <w:rFonts w:hint="eastAsia" w:ascii="仿宋_GB2312" w:eastAsia="仿宋_GB2312" w:cs="仿宋_GB2312"/>
          <w:sz w:val="32"/>
          <w:szCs w:val="32"/>
          <w:shd w:val="clear" w:color="auto" w:fill="FFFFFF"/>
          <w:lang w:val="en-US" w:eastAsia="zh-CN"/>
        </w:rPr>
        <w:t>0</w:t>
      </w:r>
      <w:r>
        <w:rPr>
          <w:rFonts w:ascii="仿宋_GB2312" w:eastAsia="仿宋_GB2312" w:cs="仿宋_GB2312"/>
          <w:sz w:val="32"/>
          <w:szCs w:val="32"/>
          <w:shd w:val="clear" w:color="auto" w:fill="FFFFFF"/>
        </w:rPr>
        <w:t>批次，</w:t>
      </w:r>
      <w:r>
        <w:rPr>
          <w:rFonts w:hint="eastAsia" w:ascii="仿宋_GB2312" w:eastAsia="仿宋_GB2312" w:cs="仿宋_GB2312"/>
          <w:sz w:val="32"/>
          <w:szCs w:val="32"/>
          <w:shd w:val="clear" w:color="auto" w:fill="FFFFFF"/>
          <w:lang w:val="en-US" w:eastAsia="zh-CN"/>
        </w:rPr>
        <w:t>0</w:t>
      </w:r>
      <w:r>
        <w:rPr>
          <w:rFonts w:ascii="仿宋_GB2312" w:eastAsia="仿宋_GB2312" w:cs="仿宋_GB2312"/>
          <w:sz w:val="32"/>
          <w:szCs w:val="32"/>
          <w:shd w:val="clear" w:color="auto" w:fill="FFFFFF"/>
        </w:rPr>
        <w:t>人次（不包括陪同人员），共计支出</w:t>
      </w:r>
      <w:r>
        <w:rPr>
          <w:rFonts w:hint="eastAsia" w:ascii="仿宋_GB2312" w:eastAsia="仿宋_GB2312" w:cs="仿宋_GB2312"/>
          <w:sz w:val="32"/>
          <w:szCs w:val="32"/>
          <w:shd w:val="clear" w:color="auto" w:fill="FFFFFF"/>
          <w:lang w:val="en-US" w:eastAsia="zh-CN"/>
        </w:rPr>
        <w:t>0</w:t>
      </w:r>
      <w:r>
        <w:rPr>
          <w:rFonts w:ascii="仿宋_GB2312" w:eastAsia="仿宋_GB2312" w:cs="仿宋_GB2312"/>
          <w:sz w:val="32"/>
          <w:szCs w:val="32"/>
          <w:shd w:val="clear" w:color="auto" w:fill="FFFFFF"/>
        </w:rPr>
        <w:t>万元</w:t>
      </w:r>
      <w:r>
        <w:rPr>
          <w:shd w:val="clear" w:color="auto" w:fill="FFFFFF"/>
        </w:rPr>
        <w:t>。</w:t>
      </w:r>
    </w:p>
    <w:p>
      <w:pPr>
        <w:pStyle w:val="33"/>
        <w:widowControl/>
        <w:spacing w:before="0" w:beforeAutospacing="0" w:after="0" w:afterAutospacing="0" w:line="360" w:lineRule="auto"/>
        <w:ind w:firstLine="643" w:firstLineChars="200"/>
        <w:jc w:val="both"/>
        <w:rPr>
          <w:rFonts w:ascii="仿宋_GB2312" w:eastAsia="仿宋_GB2312" w:cs="仿宋_GB2312"/>
          <w:sz w:val="32"/>
          <w:szCs w:val="32"/>
          <w:shd w:val="clear" w:color="auto" w:fill="FFFFFF"/>
        </w:rPr>
      </w:pPr>
      <w:r>
        <w:rPr>
          <w:rStyle w:val="28"/>
          <w:rFonts w:ascii="仿宋_GB2312" w:eastAsia="仿宋_GB2312" w:cs="仿宋_GB2312"/>
          <w:bCs w:val="0"/>
          <w:sz w:val="32"/>
          <w:szCs w:val="32"/>
          <w:shd w:val="clear" w:color="auto" w:fill="FFFFFF"/>
        </w:rPr>
        <w:t>外事接待支出</w:t>
      </w:r>
      <w:r>
        <w:rPr>
          <w:rFonts w:ascii="仿宋_GB2312" w:eastAsia="仿宋_GB2312" w:cs="仿宋_GB2312"/>
          <w:b/>
          <w:bCs/>
          <w:sz w:val="32"/>
          <w:szCs w:val="32"/>
          <w:shd w:val="clear" w:color="auto" w:fill="FFFFFF"/>
        </w:rPr>
        <w:t>0</w:t>
      </w:r>
      <w:r>
        <w:rPr>
          <w:rFonts w:ascii="仿宋_GB2312" w:eastAsia="仿宋_GB2312" w:cs="仿宋_GB2312"/>
          <w:sz w:val="32"/>
          <w:szCs w:val="32"/>
          <w:shd w:val="clear" w:color="auto" w:fill="FFFFFF"/>
        </w:rPr>
        <w:t>万元，本单位不涉及外事接待。</w:t>
      </w:r>
    </w:p>
    <w:p>
      <w:pPr>
        <w:pStyle w:val="33"/>
        <w:widowControl/>
        <w:spacing w:before="0" w:beforeAutospacing="0" w:after="0" w:afterAutospacing="0" w:line="360" w:lineRule="auto"/>
        <w:ind w:firstLine="640" w:firstLineChars="200"/>
        <w:jc w:val="both"/>
        <w:rPr>
          <w:rFonts w:ascii="仿宋_GB2312" w:eastAsia="仿宋_GB2312" w:cs="仿宋_GB2312"/>
          <w:sz w:val="32"/>
          <w:szCs w:val="32"/>
          <w:shd w:val="clear" w:color="auto" w:fill="FFFFFF"/>
        </w:rPr>
      </w:pPr>
    </w:p>
    <w:bookmarkEnd w:id="47"/>
    <w:p>
      <w:pPr>
        <w:spacing w:line="600" w:lineRule="exact"/>
        <w:ind w:firstLine="640" w:firstLineChars="200"/>
        <w:outlineLvl w:val="1"/>
        <w:rPr>
          <w:rStyle w:val="24"/>
          <w:rFonts w:ascii="黑体" w:eastAsia="黑体" w:cs="黑体"/>
          <w:b w:val="0"/>
          <w:bCs w:val="0"/>
        </w:rPr>
      </w:pPr>
      <w:bookmarkStart w:id="70" w:name="_Toc83062181"/>
      <w:bookmarkStart w:id="71" w:name="_Toc15396610"/>
      <w:bookmarkStart w:id="72" w:name="_Toc15377218"/>
      <w:bookmarkStart w:id="73" w:name="_Toc15784"/>
      <w:r>
        <w:rPr>
          <w:rStyle w:val="24"/>
          <w:rFonts w:hint="eastAsia" w:ascii="黑体" w:eastAsia="黑体" w:cs="黑体"/>
          <w:b w:val="0"/>
          <w:bCs w:val="0"/>
        </w:rPr>
        <w:t>八、政府性基金预算支出决算情况说明</w:t>
      </w:r>
      <w:bookmarkEnd w:id="70"/>
      <w:bookmarkEnd w:id="71"/>
      <w:bookmarkEnd w:id="72"/>
      <w:bookmarkEnd w:id="73"/>
    </w:p>
    <w:p>
      <w:pPr>
        <w:pStyle w:val="17"/>
        <w:ind w:left="640" w:leftChars="0" w:firstLine="0" w:firstLineChars="0"/>
      </w:pPr>
    </w:p>
    <w:p>
      <w:pPr>
        <w:spacing w:line="360" w:lineRule="auto"/>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度</w:t>
      </w:r>
      <w:r>
        <w:rPr>
          <w:rFonts w:hint="eastAsia" w:ascii="仿宋_GB2312" w:eastAsia="仿宋_GB2312" w:cs="仿宋_GB2312"/>
          <w:color w:val="000000"/>
          <w:sz w:val="32"/>
          <w:szCs w:val="32"/>
        </w:rPr>
        <w:t>政府性基金预算拨款支出</w:t>
      </w:r>
      <w:r>
        <w:rPr>
          <w:rFonts w:hint="eastAsia" w:ascii="仿宋_GB2312" w:eastAsia="仿宋_GB2312" w:cs="仿宋_GB2312"/>
          <w:b/>
          <w:bCs/>
          <w:color w:val="000000"/>
          <w:sz w:val="32"/>
          <w:szCs w:val="32"/>
        </w:rPr>
        <w:t>0</w:t>
      </w:r>
      <w:r>
        <w:rPr>
          <w:rFonts w:hint="eastAsia" w:ascii="仿宋_GB2312" w:eastAsia="仿宋_GB2312" w:cs="仿宋_GB2312"/>
          <w:color w:val="000000"/>
          <w:sz w:val="32"/>
          <w:szCs w:val="32"/>
        </w:rPr>
        <w:t>万元。</w:t>
      </w:r>
    </w:p>
    <w:p>
      <w:pPr>
        <w:pStyle w:val="17"/>
        <w:spacing w:after="0" w:line="360" w:lineRule="auto"/>
        <w:ind w:left="0" w:leftChars="0" w:firstLine="420"/>
      </w:pPr>
    </w:p>
    <w:p>
      <w:pPr>
        <w:spacing w:line="600" w:lineRule="exact"/>
        <w:ind w:firstLine="640" w:firstLineChars="200"/>
        <w:outlineLvl w:val="1"/>
        <w:rPr>
          <w:rStyle w:val="24"/>
          <w:rFonts w:ascii="黑体" w:eastAsia="黑体" w:cs="黑体"/>
          <w:b w:val="0"/>
          <w:bCs w:val="0"/>
        </w:rPr>
      </w:pPr>
      <w:bookmarkStart w:id="74" w:name="_Toc83062182"/>
      <w:bookmarkStart w:id="75" w:name="_Toc15396611"/>
      <w:bookmarkStart w:id="76" w:name="_Toc15377219"/>
      <w:bookmarkStart w:id="77" w:name="_Toc32366"/>
      <w:r>
        <w:rPr>
          <w:rStyle w:val="24"/>
          <w:rFonts w:hint="eastAsia" w:ascii="黑体" w:eastAsia="黑体" w:cs="黑体"/>
          <w:b w:val="0"/>
          <w:bCs w:val="0"/>
        </w:rPr>
        <w:t>九、国有资本经营预算支出决算情况说明</w:t>
      </w:r>
      <w:bookmarkEnd w:id="74"/>
      <w:bookmarkEnd w:id="75"/>
      <w:bookmarkEnd w:id="76"/>
      <w:bookmarkEnd w:id="77"/>
    </w:p>
    <w:p>
      <w:pPr>
        <w:pStyle w:val="17"/>
        <w:ind w:left="420" w:firstLine="420"/>
      </w:pPr>
    </w:p>
    <w:p>
      <w:pPr>
        <w:spacing w:line="360" w:lineRule="auto"/>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24</w:t>
      </w:r>
      <w:r>
        <w:rPr>
          <w:rFonts w:hint="eastAsia" w:asci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度</w:t>
      </w:r>
      <w:r>
        <w:rPr>
          <w:rFonts w:hint="eastAsia" w:ascii="仿宋_GB2312" w:eastAsia="仿宋_GB2312" w:cs="仿宋_GB2312"/>
          <w:color w:val="000000"/>
          <w:sz w:val="32"/>
          <w:szCs w:val="32"/>
        </w:rPr>
        <w:t>国有资本经营预算拨款支出</w:t>
      </w:r>
      <w:r>
        <w:rPr>
          <w:rFonts w:hint="eastAsia" w:ascii="仿宋_GB2312" w:eastAsia="仿宋_GB2312" w:cs="仿宋_GB2312"/>
          <w:b/>
          <w:bCs/>
          <w:color w:val="000000"/>
          <w:sz w:val="32"/>
          <w:szCs w:val="32"/>
        </w:rPr>
        <w:t>0</w:t>
      </w:r>
      <w:r>
        <w:rPr>
          <w:rFonts w:hint="eastAsia" w:ascii="仿宋_GB2312" w:eastAsia="仿宋_GB2312" w:cs="仿宋_GB2312"/>
          <w:color w:val="000000"/>
          <w:sz w:val="32"/>
          <w:szCs w:val="32"/>
        </w:rPr>
        <w:t>万元。</w:t>
      </w:r>
    </w:p>
    <w:p>
      <w:pPr>
        <w:pStyle w:val="17"/>
        <w:ind w:left="420" w:firstLine="420"/>
      </w:pPr>
    </w:p>
    <w:p>
      <w:pPr>
        <w:spacing w:line="600" w:lineRule="exact"/>
        <w:ind w:firstLine="640" w:firstLineChars="200"/>
        <w:outlineLvl w:val="1"/>
        <w:rPr>
          <w:rStyle w:val="24"/>
          <w:rFonts w:ascii="黑体" w:eastAsia="黑体" w:cs="黑体"/>
          <w:b w:val="0"/>
          <w:bCs w:val="0"/>
        </w:rPr>
      </w:pPr>
      <w:bookmarkStart w:id="78" w:name="_Toc19467"/>
      <w:bookmarkStart w:id="79" w:name="_Toc83062183"/>
      <w:r>
        <w:rPr>
          <w:rStyle w:val="24"/>
          <w:rFonts w:hint="eastAsia" w:ascii="黑体" w:eastAsia="黑体" w:cs="黑体"/>
          <w:b w:val="0"/>
          <w:bCs w:val="0"/>
        </w:rPr>
        <w:t>十、其他重要事项的情况说明</w:t>
      </w:r>
      <w:bookmarkEnd w:id="78"/>
      <w:bookmarkEnd w:id="79"/>
    </w:p>
    <w:p>
      <w:pPr>
        <w:pStyle w:val="17"/>
        <w:ind w:left="420" w:firstLine="420"/>
      </w:pPr>
    </w:p>
    <w:p>
      <w:pPr>
        <w:numPr>
          <w:ilvl w:val="0"/>
          <w:numId w:val="6"/>
        </w:numPr>
        <w:spacing w:line="600" w:lineRule="exact"/>
        <w:ind w:firstLine="640"/>
        <w:outlineLvl w:val="2"/>
        <w:rPr>
          <w:rFonts w:ascii="仿宋" w:eastAsia="仿宋" w:cs="仿宋"/>
          <w:b/>
          <w:bCs/>
          <w:color w:val="000000"/>
          <w:sz w:val="32"/>
          <w:szCs w:val="32"/>
        </w:rPr>
      </w:pPr>
      <w:bookmarkStart w:id="80" w:name="_Toc25496"/>
      <w:bookmarkStart w:id="81" w:name="_Toc83062184"/>
      <w:r>
        <w:rPr>
          <w:rFonts w:hint="eastAsia" w:ascii="仿宋" w:eastAsia="仿宋" w:cs="仿宋"/>
          <w:b/>
          <w:bCs/>
          <w:color w:val="000000"/>
          <w:sz w:val="32"/>
          <w:szCs w:val="32"/>
        </w:rPr>
        <w:t>机关运行经费支出情况</w:t>
      </w:r>
      <w:bookmarkEnd w:id="80"/>
      <w:bookmarkEnd w:id="81"/>
    </w:p>
    <w:p>
      <w:pPr>
        <w:pStyle w:val="17"/>
        <w:ind w:left="840" w:leftChars="400" w:firstLine="0" w:firstLineChars="0"/>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度</w:t>
      </w:r>
      <w:r>
        <w:rPr>
          <w:rFonts w:hint="eastAsia" w:ascii="仿宋_GB2312" w:hAnsi="仿宋_GB2312" w:eastAsia="仿宋_GB2312" w:cs="仿宋_GB2312"/>
          <w:kern w:val="0"/>
          <w:sz w:val="32"/>
          <w:szCs w:val="32"/>
          <w:shd w:val="clear" w:color="auto" w:fill="FFFFFF"/>
        </w:rPr>
        <w:t>四川省</w:t>
      </w:r>
      <w:r>
        <w:rPr>
          <w:rFonts w:hint="eastAsia" w:ascii="仿宋_GB2312" w:hAnsi="仿宋" w:eastAsia="仿宋_GB2312"/>
          <w:sz w:val="32"/>
          <w:szCs w:val="32"/>
          <w:lang w:val="en-US" w:eastAsia="zh-CN"/>
        </w:rPr>
        <w:t>阿坝</w:t>
      </w:r>
      <w:r>
        <w:rPr>
          <w:rFonts w:hint="eastAsia" w:ascii="仿宋_GB2312" w:hAnsi="仿宋" w:eastAsia="仿宋_GB2312"/>
          <w:sz w:val="32"/>
          <w:szCs w:val="32"/>
        </w:rPr>
        <w:t>州</w:t>
      </w:r>
      <w:r>
        <w:rPr>
          <w:rFonts w:hint="eastAsia" w:ascii="仿宋_GB2312" w:hAnsi="仿宋" w:eastAsia="仿宋_GB2312"/>
          <w:sz w:val="32"/>
          <w:szCs w:val="32"/>
          <w:lang w:val="en-US" w:eastAsia="zh-CN"/>
        </w:rPr>
        <w:t>社会科学界联合会</w:t>
      </w:r>
      <w:r>
        <w:rPr>
          <w:rFonts w:hint="eastAsia" w:ascii="仿宋_GB2312" w:hAnsi="仿宋_GB2312" w:eastAsia="仿宋_GB2312" w:cs="仿宋_GB2312"/>
          <w:kern w:val="0"/>
          <w:sz w:val="32"/>
          <w:szCs w:val="32"/>
          <w:shd w:val="clear" w:color="auto" w:fill="FFFFFF"/>
        </w:rPr>
        <w:t>机关运行经费支出</w:t>
      </w:r>
      <w:r>
        <w:rPr>
          <w:rFonts w:hint="eastAsia" w:ascii="仿宋" w:hAnsi="仿宋" w:eastAsia="仿宋"/>
          <w:b/>
          <w:sz w:val="32"/>
          <w:szCs w:val="32"/>
          <w:lang w:val="en-US" w:eastAsia="zh-CN"/>
        </w:rPr>
        <w:t>31.81</w:t>
      </w:r>
      <w:r>
        <w:rPr>
          <w:rFonts w:hint="eastAsia" w:ascii="仿宋_GB2312" w:hAnsi="仿宋_GB2312" w:eastAsia="仿宋_GB2312" w:cs="仿宋_GB2312"/>
          <w:kern w:val="0"/>
          <w:sz w:val="32"/>
          <w:szCs w:val="32"/>
          <w:shd w:val="clear" w:color="auto" w:fill="FFFFFF"/>
        </w:rPr>
        <w:t>万元，比202</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rPr>
        <w:t>年</w:t>
      </w:r>
      <w:r>
        <w:rPr>
          <w:rFonts w:hint="eastAsia" w:ascii="仿宋_GB2312" w:hAnsi="仿宋_GB2312" w:eastAsia="仿宋_GB2312" w:cs="仿宋_GB2312"/>
          <w:color w:val="000000"/>
          <w:sz w:val="32"/>
          <w:szCs w:val="32"/>
          <w:lang w:val="en-US" w:eastAsia="zh-CN"/>
        </w:rPr>
        <w:t>度</w:t>
      </w:r>
      <w:r>
        <w:rPr>
          <w:rFonts w:hint="eastAsia" w:ascii="仿宋_GB2312" w:hAnsi="仿宋_GB2312" w:eastAsia="仿宋_GB2312" w:cs="仿宋_GB2312"/>
          <w:kern w:val="0"/>
          <w:sz w:val="32"/>
          <w:szCs w:val="32"/>
          <w:shd w:val="clear" w:color="auto" w:fill="FFFFFF"/>
          <w:lang w:val="en-US" w:eastAsia="zh-CN"/>
        </w:rPr>
        <w:t>增加2.62</w:t>
      </w:r>
      <w:r>
        <w:rPr>
          <w:rFonts w:hint="eastAsia" w:ascii="仿宋_GB2312" w:hAnsi="仿宋_GB2312" w:eastAsia="仿宋_GB2312" w:cs="仿宋_GB2312"/>
          <w:kern w:val="0"/>
          <w:sz w:val="32"/>
          <w:szCs w:val="32"/>
          <w:shd w:val="clear" w:color="auto" w:fill="FFFFFF"/>
        </w:rPr>
        <w:t>万元，</w:t>
      </w:r>
      <w:r>
        <w:rPr>
          <w:rFonts w:hint="eastAsia" w:ascii="仿宋_GB2312" w:hAnsi="仿宋_GB2312" w:eastAsia="仿宋_GB2312" w:cs="仿宋_GB2312"/>
          <w:kern w:val="0"/>
          <w:sz w:val="32"/>
          <w:szCs w:val="32"/>
          <w:shd w:val="clear" w:color="auto" w:fill="FFFFFF"/>
          <w:lang w:val="en-US" w:eastAsia="zh-CN"/>
        </w:rPr>
        <w:t>增长8.98</w:t>
      </w:r>
      <w:r>
        <w:rPr>
          <w:rFonts w:hint="eastAsia" w:ascii="仿宋_GB2312" w:hAnsi="仿宋_GB2312" w:eastAsia="仿宋_GB2312" w:cs="仿宋_GB2312"/>
          <w:kern w:val="0"/>
          <w:sz w:val="32"/>
          <w:szCs w:val="32"/>
          <w:shd w:val="clear" w:color="auto" w:fill="FFFFFF"/>
        </w:rPr>
        <w:t>%。主要原因是</w:t>
      </w:r>
      <w:r>
        <w:rPr>
          <w:rFonts w:hint="eastAsia" w:ascii="仿宋_GB2312" w:hAnsi="仿宋_GB2312" w:eastAsia="仿宋_GB2312" w:cs="仿宋_GB2312"/>
          <w:color w:val="000000"/>
          <w:sz w:val="32"/>
          <w:szCs w:val="32"/>
        </w:rPr>
        <w:t>我单位</w:t>
      </w:r>
      <w:r>
        <w:rPr>
          <w:rFonts w:hint="eastAsia" w:ascii="仿宋_GB2312" w:hAnsi="仿宋_GB2312" w:eastAsia="仿宋_GB2312" w:cs="仿宋_GB2312"/>
          <w:color w:val="000000"/>
          <w:sz w:val="32"/>
          <w:szCs w:val="32"/>
          <w:lang w:val="en-US" w:eastAsia="zh-CN"/>
        </w:rPr>
        <w:t>2024年度开展多项社科工作，会议费、办公费、公务用车运行</w:t>
      </w:r>
      <w:r>
        <w:rPr>
          <w:rFonts w:ascii="仿宋_GB2312" w:eastAsia="仿宋_GB2312" w:cs="仿宋_GB2312"/>
          <w:color w:val="000000"/>
          <w:sz w:val="32"/>
          <w:szCs w:val="32"/>
        </w:rPr>
        <w:t>运行维护费</w:t>
      </w:r>
      <w:r>
        <w:rPr>
          <w:rFonts w:hint="eastAsia" w:ascii="仿宋_GB2312" w:hAnsi="仿宋_GB2312" w:eastAsia="仿宋_GB2312" w:cs="仿宋_GB2312"/>
          <w:color w:val="000000"/>
          <w:kern w:val="0"/>
          <w:sz w:val="32"/>
          <w:szCs w:val="32"/>
          <w:lang w:val="en-US" w:eastAsia="zh-CN"/>
        </w:rPr>
        <w:t>同比2024年度有所增加</w:t>
      </w:r>
      <w:r>
        <w:rPr>
          <w:rFonts w:hint="eastAsia" w:ascii="仿宋_GB2312" w:hAnsi="仿宋_GB2312" w:eastAsia="仿宋_GB2312" w:cs="仿宋_GB2312"/>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仿宋_GB2312" w:eastAsia="仿宋_GB2312" w:cs="仿宋_GB2312"/>
          <w:color w:val="000000"/>
          <w:sz w:val="32"/>
          <w:szCs w:val="32"/>
        </w:rPr>
      </w:pPr>
    </w:p>
    <w:p>
      <w:pPr>
        <w:numPr>
          <w:ilvl w:val="0"/>
          <w:numId w:val="6"/>
        </w:numPr>
        <w:spacing w:line="600" w:lineRule="exact"/>
        <w:ind w:firstLine="640"/>
        <w:outlineLvl w:val="2"/>
        <w:rPr>
          <w:rFonts w:ascii="仿宋" w:eastAsia="仿宋" w:cs="仿宋"/>
          <w:b/>
          <w:bCs/>
          <w:color w:val="000000"/>
          <w:sz w:val="32"/>
          <w:szCs w:val="32"/>
        </w:rPr>
      </w:pPr>
      <w:bookmarkStart w:id="82" w:name="_Toc19249"/>
      <w:bookmarkStart w:id="83" w:name="_Toc83062185"/>
      <w:r>
        <w:rPr>
          <w:rFonts w:hint="eastAsia" w:ascii="仿宋" w:eastAsia="仿宋" w:cs="仿宋"/>
          <w:b/>
          <w:bCs/>
          <w:color w:val="000000"/>
          <w:sz w:val="32"/>
          <w:szCs w:val="32"/>
        </w:rPr>
        <w:t>政府采购支出情况</w:t>
      </w:r>
      <w:bookmarkEnd w:id="82"/>
      <w:bookmarkEnd w:id="83"/>
    </w:p>
    <w:p>
      <w:pPr>
        <w:pStyle w:val="17"/>
        <w:ind w:left="640" w:leftChars="0" w:firstLine="0" w:firstLineChars="0"/>
      </w:pPr>
    </w:p>
    <w:p>
      <w:pPr>
        <w:spacing w:line="600" w:lineRule="exact"/>
        <w:ind w:firstLine="640" w:firstLineChars="200"/>
        <w:rPr>
          <w:rFonts w:ascii="仿宋_GB2312" w:eastAsia="仿宋_GB2312"/>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val="en-US" w:eastAsia="zh-CN"/>
        </w:rPr>
        <w:t>度</w:t>
      </w:r>
      <w:r>
        <w:rPr>
          <w:rFonts w:hint="eastAsia" w:ascii="仿宋_GB2312" w:eastAsia="仿宋_GB2312" w:cs="仿宋_GB2312"/>
          <w:color w:val="000000"/>
          <w:sz w:val="32"/>
          <w:szCs w:val="32"/>
        </w:rPr>
        <w:t>，</w:t>
      </w:r>
      <w:r>
        <w:rPr>
          <w:rFonts w:hint="eastAsia" w:ascii="仿宋_GB2312" w:hAnsi="仿宋_GB2312" w:eastAsia="仿宋_GB2312" w:cs="仿宋_GB2312"/>
          <w:kern w:val="0"/>
          <w:sz w:val="32"/>
          <w:szCs w:val="32"/>
          <w:shd w:val="clear" w:color="auto" w:fill="FFFFFF"/>
        </w:rPr>
        <w:t>四川省</w:t>
      </w:r>
      <w:r>
        <w:rPr>
          <w:rFonts w:hint="eastAsia" w:ascii="仿宋_GB2312" w:hAnsi="仿宋" w:eastAsia="仿宋_GB2312"/>
          <w:sz w:val="32"/>
          <w:szCs w:val="32"/>
          <w:lang w:val="en-US" w:eastAsia="zh-CN"/>
        </w:rPr>
        <w:t>阿坝</w:t>
      </w:r>
      <w:r>
        <w:rPr>
          <w:rFonts w:hint="eastAsia" w:ascii="仿宋_GB2312" w:hAnsi="仿宋" w:eastAsia="仿宋_GB2312"/>
          <w:sz w:val="32"/>
          <w:szCs w:val="32"/>
        </w:rPr>
        <w:t>州</w:t>
      </w:r>
      <w:r>
        <w:rPr>
          <w:rFonts w:hint="eastAsia" w:ascii="仿宋_GB2312" w:hAnsi="仿宋" w:eastAsia="仿宋_GB2312"/>
          <w:sz w:val="32"/>
          <w:szCs w:val="32"/>
          <w:lang w:val="en-US" w:eastAsia="zh-CN"/>
        </w:rPr>
        <w:t>社会科学界联合会</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pPr>
        <w:widowControl/>
        <w:spacing w:after="100" w:afterAutospacing="1" w:line="360" w:lineRule="auto"/>
        <w:ind w:firstLine="640" w:firstLineChars="200"/>
        <w:rPr>
          <w:rFonts w:ascii="仿宋_GB2312" w:eastAsia="仿宋_GB2312" w:cs="仿宋_GB2312"/>
          <w:color w:val="000000"/>
          <w:sz w:val="32"/>
          <w:szCs w:val="32"/>
        </w:rPr>
      </w:pPr>
    </w:p>
    <w:p>
      <w:pPr>
        <w:numPr>
          <w:ilvl w:val="0"/>
          <w:numId w:val="6"/>
        </w:numPr>
        <w:spacing w:line="600" w:lineRule="exact"/>
        <w:ind w:firstLine="640"/>
        <w:outlineLvl w:val="2"/>
        <w:rPr>
          <w:rFonts w:ascii="仿宋" w:eastAsia="仿宋" w:cs="仿宋"/>
          <w:b/>
          <w:bCs/>
          <w:color w:val="000000"/>
          <w:sz w:val="32"/>
          <w:szCs w:val="32"/>
        </w:rPr>
      </w:pPr>
      <w:bookmarkStart w:id="84" w:name="_Toc15189"/>
      <w:bookmarkStart w:id="85" w:name="_Toc83062186"/>
      <w:r>
        <w:rPr>
          <w:rFonts w:hint="eastAsia" w:ascii="仿宋" w:eastAsia="仿宋" w:cs="仿宋"/>
          <w:b/>
          <w:bCs/>
          <w:color w:val="000000"/>
          <w:sz w:val="32"/>
          <w:szCs w:val="32"/>
        </w:rPr>
        <w:t>国有资产占有使用情况</w:t>
      </w:r>
      <w:bookmarkEnd w:id="84"/>
      <w:bookmarkEnd w:id="85"/>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kern w:val="0"/>
          <w:sz w:val="32"/>
          <w:szCs w:val="32"/>
          <w:shd w:val="clear" w:color="auto" w:fill="FFFFFF"/>
        </w:rPr>
        <w:t>截至202</w:t>
      </w:r>
      <w:r>
        <w:rPr>
          <w:rFonts w:hint="eastAsia" w:ascii="仿宋_GB2312" w:eastAsia="仿宋_GB2312" w:cs="仿宋_GB2312"/>
          <w:kern w:val="0"/>
          <w:sz w:val="32"/>
          <w:szCs w:val="32"/>
          <w:shd w:val="clear" w:color="auto" w:fill="FFFFFF"/>
          <w:lang w:val="en-US" w:eastAsia="zh-CN"/>
        </w:rPr>
        <w:t>4</w:t>
      </w:r>
      <w:r>
        <w:rPr>
          <w:rFonts w:hint="eastAsia" w:ascii="仿宋_GB2312" w:eastAsia="仿宋_GB2312" w:cs="仿宋_GB2312"/>
          <w:kern w:val="0"/>
          <w:sz w:val="32"/>
          <w:szCs w:val="32"/>
          <w:shd w:val="clear" w:color="auto" w:fill="FFFFFF"/>
        </w:rPr>
        <w:t>年12月</w:t>
      </w:r>
      <w:r>
        <w:rPr>
          <w:rFonts w:hint="eastAsia" w:ascii="仿宋_GB2312" w:eastAsia="仿宋_GB2312" w:cs="仿宋_GB2312"/>
          <w:kern w:val="0"/>
          <w:sz w:val="32"/>
          <w:szCs w:val="32"/>
          <w:shd w:val="clear" w:color="auto" w:fill="FFFFFF"/>
          <w:lang w:val="en-US" w:eastAsia="zh-CN"/>
        </w:rPr>
        <w:t>31日</w:t>
      </w:r>
      <w:r>
        <w:rPr>
          <w:rFonts w:hint="eastAsia" w:asci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rPr>
        <w:t>四川省</w:t>
      </w:r>
      <w:r>
        <w:rPr>
          <w:rFonts w:hint="eastAsia" w:ascii="仿宋_GB2312" w:hAnsi="仿宋" w:eastAsia="仿宋_GB2312"/>
          <w:sz w:val="32"/>
          <w:szCs w:val="32"/>
          <w:lang w:val="en-US" w:eastAsia="zh-CN"/>
        </w:rPr>
        <w:t>阿坝</w:t>
      </w:r>
      <w:r>
        <w:rPr>
          <w:rFonts w:hint="eastAsia" w:ascii="仿宋_GB2312" w:hAnsi="仿宋" w:eastAsia="仿宋_GB2312"/>
          <w:sz w:val="32"/>
          <w:szCs w:val="32"/>
        </w:rPr>
        <w:t>州</w:t>
      </w:r>
      <w:r>
        <w:rPr>
          <w:rFonts w:hint="eastAsia" w:ascii="仿宋_GB2312" w:hAnsi="仿宋" w:eastAsia="仿宋_GB2312"/>
          <w:sz w:val="32"/>
          <w:szCs w:val="32"/>
          <w:lang w:val="en-US" w:eastAsia="zh-CN"/>
        </w:rPr>
        <w:t>社会科学界联合会</w:t>
      </w:r>
      <w:r>
        <w:rPr>
          <w:rFonts w:hint="eastAsia" w:ascii="仿宋_GB2312" w:eastAsia="仿宋_GB2312" w:cs="仿宋_GB2312"/>
          <w:kern w:val="0"/>
          <w:sz w:val="32"/>
          <w:szCs w:val="32"/>
          <w:shd w:val="clear" w:color="auto" w:fill="FFFFFF"/>
        </w:rPr>
        <w:t>共有公务用车</w:t>
      </w:r>
      <w:r>
        <w:rPr>
          <w:rFonts w:hint="eastAsia" w:ascii="仿宋_GB2312" w:eastAsia="仿宋_GB2312" w:cs="仿宋_GB2312"/>
          <w:kern w:val="0"/>
          <w:sz w:val="32"/>
          <w:szCs w:val="32"/>
          <w:shd w:val="clear" w:color="auto" w:fill="FFFFFF"/>
          <w:lang w:val="en-US" w:eastAsia="zh-CN"/>
        </w:rPr>
        <w:t>1</w:t>
      </w:r>
      <w:r>
        <w:rPr>
          <w:rFonts w:hint="eastAsia" w:ascii="仿宋_GB2312" w:eastAsia="仿宋_GB2312" w:cs="仿宋_GB2312"/>
          <w:kern w:val="0"/>
          <w:sz w:val="32"/>
          <w:szCs w:val="32"/>
          <w:shd w:val="clear" w:color="auto" w:fill="FFFFFF"/>
        </w:rPr>
        <w:t>辆。其中：越野车</w:t>
      </w:r>
      <w:r>
        <w:rPr>
          <w:rFonts w:hint="eastAsia" w:ascii="仿宋_GB2312" w:eastAsia="仿宋_GB2312" w:cs="仿宋_GB2312"/>
          <w:kern w:val="0"/>
          <w:sz w:val="32"/>
          <w:szCs w:val="32"/>
          <w:shd w:val="clear" w:color="auto" w:fill="FFFFFF"/>
          <w:lang w:val="en-US" w:eastAsia="zh-CN"/>
        </w:rPr>
        <w:t>1</w:t>
      </w:r>
      <w:r>
        <w:rPr>
          <w:rFonts w:hint="eastAsia" w:ascii="仿宋_GB2312" w:eastAsia="仿宋_GB2312" w:cs="仿宋_GB2312"/>
          <w:kern w:val="0"/>
          <w:sz w:val="32"/>
          <w:szCs w:val="32"/>
          <w:shd w:val="clear" w:color="auto" w:fill="FFFFFF"/>
        </w:rPr>
        <w:t>辆。其他用车0辆。</w:t>
      </w:r>
    </w:p>
    <w:p>
      <w:pPr>
        <w:pStyle w:val="16"/>
        <w:widowControl/>
        <w:spacing w:beforeAutospacing="0" w:afterAutospacing="0"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单价100万元（含）以上设备（不含车辆）0台（套）。</w:t>
      </w:r>
    </w:p>
    <w:p>
      <w:pPr>
        <w:pStyle w:val="17"/>
        <w:spacing w:after="0" w:line="360" w:lineRule="auto"/>
        <w:ind w:left="0" w:leftChars="0" w:firstLine="420"/>
      </w:pPr>
    </w:p>
    <w:p>
      <w:pPr>
        <w:numPr>
          <w:ilvl w:val="0"/>
          <w:numId w:val="6"/>
        </w:numPr>
        <w:spacing w:line="600" w:lineRule="exact"/>
        <w:ind w:firstLine="640"/>
        <w:outlineLvl w:val="2"/>
        <w:rPr>
          <w:rFonts w:ascii="仿宋" w:eastAsia="仿宋" w:cs="仿宋"/>
          <w:b/>
          <w:bCs/>
          <w:color w:val="000000"/>
          <w:sz w:val="32"/>
          <w:szCs w:val="32"/>
        </w:rPr>
      </w:pPr>
      <w:bookmarkStart w:id="86" w:name="_Toc83062187"/>
      <w:bookmarkStart w:id="87" w:name="_Toc8462"/>
      <w:r>
        <w:rPr>
          <w:rFonts w:hint="eastAsia" w:ascii="仿宋" w:eastAsia="仿宋" w:cs="仿宋"/>
          <w:b/>
          <w:bCs/>
          <w:color w:val="000000"/>
          <w:sz w:val="32"/>
          <w:szCs w:val="32"/>
        </w:rPr>
        <w:t>预算绩效管理情况</w:t>
      </w:r>
      <w:bookmarkEnd w:id="86"/>
      <w:bookmarkEnd w:id="87"/>
    </w:p>
    <w:p>
      <w:pPr>
        <w:pStyle w:val="17"/>
        <w:ind w:left="640" w:leftChars="0" w:firstLine="0" w:firstLineChars="0"/>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cs="仿宋_GB2312"/>
          <w:sz w:val="32"/>
          <w:szCs w:val="32"/>
          <w:shd w:val="clear" w:color="auto" w:fill="FFFFFF"/>
          <w:lang w:eastAsia="zh-CN"/>
        </w:rPr>
      </w:pPr>
      <w:r>
        <w:rPr>
          <w:rFonts w:hint="eastAsia" w:ascii="仿宋_GB2312" w:eastAsia="仿宋_GB2312" w:cs="仿宋_GB2312"/>
          <w:sz w:val="32"/>
          <w:szCs w:val="32"/>
          <w:shd w:val="clear" w:color="auto" w:fill="FFFFFF"/>
        </w:rPr>
        <w:t>根据预算绩效管理要求，本单位在202</w:t>
      </w:r>
      <w:r>
        <w:rPr>
          <w:rFonts w:hint="eastAsia" w:ascii="仿宋_GB2312" w:eastAsia="仿宋_GB2312" w:cs="仿宋_GB2312"/>
          <w:sz w:val="32"/>
          <w:szCs w:val="32"/>
          <w:shd w:val="clear" w:color="auto" w:fill="FFFFFF"/>
          <w:lang w:val="en-US" w:eastAsia="zh-CN"/>
        </w:rPr>
        <w:t>4</w:t>
      </w:r>
      <w:r>
        <w:rPr>
          <w:rFonts w:hint="eastAsia" w:ascii="仿宋_GB2312" w:eastAsia="仿宋_GB2312" w:cs="仿宋_GB2312"/>
          <w:sz w:val="32"/>
          <w:szCs w:val="32"/>
          <w:shd w:val="clear" w:color="auto" w:fill="FFFFFF"/>
        </w:rPr>
        <w:t>年度预算编制阶段，组织对</w:t>
      </w:r>
      <w:r>
        <w:rPr>
          <w:rFonts w:hint="eastAsia" w:ascii="仿宋_GB2312" w:eastAsia="仿宋_GB2312" w:cs="仿宋_GB2312"/>
          <w:sz w:val="32"/>
          <w:szCs w:val="32"/>
          <w:shd w:val="clear" w:color="auto" w:fill="FFFFFF"/>
          <w:lang w:val="en-US" w:eastAsia="zh-CN"/>
        </w:rPr>
        <w:t>8个</w:t>
      </w:r>
      <w:r>
        <w:rPr>
          <w:rFonts w:hint="eastAsia" w:ascii="仿宋_GB2312" w:eastAsia="仿宋_GB2312" w:cs="仿宋_GB2312"/>
          <w:sz w:val="32"/>
          <w:szCs w:val="32"/>
          <w:shd w:val="clear" w:color="auto" w:fill="FFFFFF"/>
        </w:rPr>
        <w:t>项目开展了预算事前绩效评估，对</w:t>
      </w:r>
      <w:r>
        <w:rPr>
          <w:rFonts w:hint="eastAsia" w:ascii="仿宋_GB2312" w:eastAsia="仿宋_GB2312" w:cs="仿宋_GB2312"/>
          <w:sz w:val="32"/>
          <w:szCs w:val="32"/>
          <w:shd w:val="clear" w:color="auto" w:fill="FFFFFF"/>
          <w:lang w:val="en-US" w:eastAsia="zh-CN"/>
        </w:rPr>
        <w:t>8</w:t>
      </w:r>
      <w:r>
        <w:rPr>
          <w:rFonts w:hint="eastAsia" w:ascii="仿宋_GB2312" w:eastAsia="仿宋_GB2312" w:cs="仿宋_GB2312"/>
          <w:sz w:val="32"/>
          <w:szCs w:val="32"/>
          <w:shd w:val="clear" w:color="auto" w:fill="FFFFFF"/>
        </w:rPr>
        <w:t>个项目编制了绩效目标，在预算执行过程中，</w:t>
      </w:r>
      <w:r>
        <w:rPr>
          <w:rFonts w:hint="eastAsia" w:ascii="仿宋_GB2312" w:eastAsia="仿宋_GB2312" w:cs="仿宋_GB2312"/>
          <w:sz w:val="32"/>
          <w:szCs w:val="32"/>
        </w:rPr>
        <w:t>我单位</w:t>
      </w:r>
      <w:r>
        <w:rPr>
          <w:rFonts w:hint="eastAsia" w:ascii="仿宋_GB2312" w:eastAsia="仿宋_GB2312" w:cs="仿宋_GB2312"/>
          <w:sz w:val="32"/>
          <w:szCs w:val="32"/>
          <w:shd w:val="clear" w:color="auto" w:fill="FFFFFF"/>
        </w:rPr>
        <w:t>选取</w:t>
      </w:r>
      <w:r>
        <w:rPr>
          <w:rFonts w:hint="eastAsia" w:ascii="仿宋_GB2312" w:eastAsia="仿宋_GB2312" w:cs="仿宋_GB2312"/>
          <w:sz w:val="32"/>
          <w:szCs w:val="32"/>
          <w:shd w:val="clear" w:color="auto" w:fill="FFFFFF"/>
          <w:lang w:val="en-US" w:eastAsia="zh-CN"/>
        </w:rPr>
        <w:t>8</w:t>
      </w:r>
      <w:r>
        <w:rPr>
          <w:rFonts w:hint="eastAsia" w:ascii="仿宋_GB2312" w:eastAsia="仿宋_GB2312" w:cs="仿宋_GB2312"/>
          <w:sz w:val="32"/>
          <w:szCs w:val="32"/>
          <w:shd w:val="clear" w:color="auto" w:fill="FFFFFF"/>
        </w:rPr>
        <w:t>个项目开展绩效监控，对</w:t>
      </w:r>
      <w:r>
        <w:rPr>
          <w:rFonts w:hint="eastAsia" w:ascii="仿宋_GB2312" w:eastAsia="仿宋_GB2312" w:cs="仿宋_GB2312"/>
          <w:sz w:val="32"/>
          <w:szCs w:val="32"/>
          <w:shd w:val="clear" w:color="auto" w:fill="FFFFFF"/>
          <w:lang w:val="en-US" w:eastAsia="zh-CN"/>
        </w:rPr>
        <w:t>8</w:t>
      </w:r>
      <w:r>
        <w:rPr>
          <w:rFonts w:hint="eastAsia" w:ascii="仿宋_GB2312" w:eastAsia="仿宋_GB2312" w:cs="仿宋_GB2312"/>
          <w:sz w:val="32"/>
          <w:szCs w:val="32"/>
          <w:shd w:val="clear" w:color="auto" w:fill="FFFFFF"/>
        </w:rPr>
        <w:t>个项目开展了绩效自评</w:t>
      </w:r>
      <w:r>
        <w:rPr>
          <w:rFonts w:hint="eastAsia" w:ascii="仿宋_GB2312" w:eastAsia="仿宋_GB2312" w:cs="仿宋_GB2312"/>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仿宋_GB2312"/>
          <w:sz w:val="32"/>
          <w:szCs w:val="32"/>
          <w:lang w:val="zh-CN" w:eastAsia="zh-CN" w:bidi="ar-SA"/>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kern w:val="0"/>
          <w:sz w:val="32"/>
          <w:szCs w:val="32"/>
          <w:shd w:val="clear" w:color="auto" w:fill="FFFFFF"/>
        </w:rPr>
        <w:t>四川省</w:t>
      </w:r>
      <w:r>
        <w:rPr>
          <w:rFonts w:hint="eastAsia" w:ascii="仿宋_GB2312" w:hAnsi="仿宋" w:eastAsia="仿宋_GB2312" w:cs="仿宋_GB2312"/>
          <w:sz w:val="32"/>
          <w:szCs w:val="32"/>
          <w:lang w:val="en-US" w:eastAsia="zh-CN"/>
        </w:rPr>
        <w:t>阿坝</w:t>
      </w:r>
      <w:r>
        <w:rPr>
          <w:rFonts w:hint="eastAsia" w:ascii="仿宋_GB2312" w:hAnsi="仿宋" w:eastAsia="仿宋_GB2312" w:cs="仿宋_GB2312"/>
          <w:sz w:val="32"/>
          <w:szCs w:val="32"/>
        </w:rPr>
        <w:t>州</w:t>
      </w:r>
      <w:r>
        <w:rPr>
          <w:rFonts w:hint="eastAsia" w:ascii="仿宋_GB2312" w:hAnsi="仿宋" w:eastAsia="仿宋_GB2312" w:cs="仿宋_GB2312"/>
          <w:sz w:val="32"/>
          <w:szCs w:val="32"/>
          <w:lang w:val="en-US" w:eastAsia="zh-CN"/>
        </w:rPr>
        <w:t>社会科学界联合</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sz w:val="32"/>
          <w:szCs w:val="32"/>
          <w:lang w:val="en-US" w:eastAsia="zh-CN"/>
        </w:rPr>
        <w:t>阿坝</w:t>
      </w:r>
      <w:r>
        <w:rPr>
          <w:rFonts w:hint="eastAsia" w:ascii="仿宋_GB2312" w:hAnsi="仿宋_GB2312" w:eastAsia="仿宋_GB2312" w:cs="仿宋_GB2312"/>
          <w:sz w:val="32"/>
          <w:szCs w:val="32"/>
        </w:rPr>
        <w:t>州</w:t>
      </w:r>
      <w:r>
        <w:rPr>
          <w:rFonts w:hint="eastAsia" w:ascii="仿宋_GB2312" w:hAnsi="仿宋_GB2312" w:eastAsia="仿宋_GB2312" w:cs="仿宋_GB2312"/>
          <w:sz w:val="32"/>
          <w:szCs w:val="32"/>
          <w:lang w:val="en-US" w:eastAsia="zh-CN"/>
        </w:rPr>
        <w:t>社会科学界联合会</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99.2</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color w:val="auto"/>
          <w:sz w:val="32"/>
          <w:szCs w:val="32"/>
          <w:lang w:val="en-US" w:eastAsia="zh-CN" w:bidi="ar-SA"/>
        </w:rPr>
        <w:t>本单位履职效果和预算管理效果较好，财务管理、资产管理、采购管理规范，项目决策程序严格</w:t>
      </w:r>
      <w:r>
        <w:rPr>
          <w:rFonts w:hint="eastAsia" w:ascii="仿宋_GB2312" w:hAnsi="仿宋_GB2312" w:eastAsia="仿宋_GB2312" w:cs="仿宋_GB2312"/>
          <w:color w:val="auto"/>
          <w:sz w:val="32"/>
          <w:szCs w:val="32"/>
          <w:lang w:val="zh-CN" w:eastAsia="zh-CN" w:bidi="ar-SA"/>
        </w:rPr>
        <w:t>，项目执行</w:t>
      </w:r>
      <w:r>
        <w:rPr>
          <w:rFonts w:hint="eastAsia" w:ascii="仿宋_GB2312" w:hAnsi="仿宋_GB2312" w:eastAsia="仿宋_GB2312" w:cs="仿宋_GB2312"/>
          <w:color w:val="auto"/>
          <w:sz w:val="32"/>
          <w:szCs w:val="32"/>
          <w:lang w:val="en-US" w:eastAsia="zh-CN" w:bidi="ar-SA"/>
        </w:rPr>
        <w:t>进度和绩效目标实现程度良好，</w:t>
      </w:r>
      <w:r>
        <w:rPr>
          <w:rFonts w:hint="eastAsia" w:ascii="仿宋_GB2312" w:hAnsi="仿宋_GB2312" w:eastAsia="仿宋_GB2312" w:cs="仿宋_GB2312"/>
          <w:kern w:val="0"/>
          <w:sz w:val="32"/>
          <w:szCs w:val="32"/>
        </w:rPr>
        <w:t>按照《阿坝州财政局关于开展2025年州级部门预算绩效自评工作的通知》（阿州财监绩〔2025〕4号）文件</w:t>
      </w:r>
      <w:r>
        <w:rPr>
          <w:rFonts w:hint="eastAsia" w:ascii="仿宋_GB2312" w:hAnsi="仿宋_GB2312" w:eastAsia="仿宋_GB2312" w:cs="仿宋_GB2312"/>
          <w:color w:val="auto"/>
          <w:sz w:val="32"/>
          <w:szCs w:val="32"/>
          <w:lang w:val="en-US" w:eastAsia="zh-CN" w:bidi="ar-SA"/>
        </w:rPr>
        <w:t>要求，完成一般公共预算和阶段性项目绩效目标自评表的填报，完成专项预算项目自评工作，实现部门预算项目自评全覆盖。</w:t>
      </w:r>
    </w:p>
    <w:p>
      <w:pPr>
        <w:spacing w:line="580" w:lineRule="exact"/>
        <w:ind w:firstLine="640" w:firstLineChars="200"/>
        <w:rPr>
          <w:rFonts w:ascii="仿宋_GB2312" w:hAnsi="仿宋_GB2312" w:eastAsia="仿宋_GB2312" w:cs="仿宋_GB2312"/>
          <w:sz w:val="32"/>
          <w:szCs w:val="32"/>
        </w:rPr>
      </w:pPr>
    </w:p>
    <w:p>
      <w:pPr>
        <w:widowControl/>
        <w:spacing w:line="360" w:lineRule="auto"/>
        <w:ind w:firstLine="640" w:firstLineChars="200"/>
        <w:rPr>
          <w:rFonts w:hint="eastAsia" w:ascii="仿宋" w:eastAsia="仿宋" w:cs="仿宋"/>
          <w:color w:val="000000"/>
          <w:kern w:val="0"/>
          <w:sz w:val="31"/>
          <w:szCs w:val="31"/>
        </w:rPr>
      </w:pPr>
      <w:r>
        <w:rPr>
          <w:rFonts w:hint="eastAsia" w:ascii="仿宋_GB2312" w:eastAsia="仿宋_GB2312" w:cs="仿宋_GB2312"/>
          <w:sz w:val="32"/>
          <w:szCs w:val="32"/>
          <w:shd w:val="clear" w:color="auto" w:fill="FFFFFF"/>
        </w:rPr>
        <w:t>部门预算项目</w:t>
      </w:r>
      <w:r>
        <w:rPr>
          <w:rFonts w:ascii="仿宋" w:eastAsia="仿宋" w:cs="仿宋"/>
          <w:color w:val="000000"/>
          <w:kern w:val="0"/>
          <w:sz w:val="31"/>
          <w:szCs w:val="31"/>
        </w:rPr>
        <w:t>绩效自评表详见第四部分附件</w:t>
      </w:r>
      <w:r>
        <w:rPr>
          <w:rFonts w:hint="eastAsia" w:ascii="仿宋" w:eastAsia="仿宋" w:cs="仿宋"/>
          <w:color w:val="000000"/>
          <w:kern w:val="0"/>
          <w:sz w:val="31"/>
          <w:szCs w:val="31"/>
        </w:rPr>
        <w:t>。</w:t>
      </w:r>
    </w:p>
    <w:p>
      <w:pPr>
        <w:pStyle w:val="2"/>
      </w:pPr>
    </w:p>
    <w:p/>
    <w:p>
      <w:pPr>
        <w:pStyle w:val="2"/>
      </w:pPr>
    </w:p>
    <w:p/>
    <w:p>
      <w:pPr>
        <w:pStyle w:val="2"/>
      </w:pPr>
    </w:p>
    <w:p/>
    <w:p>
      <w:pPr>
        <w:pStyle w:val="2"/>
      </w:pPr>
    </w:p>
    <w:p/>
    <w:p>
      <w:pPr>
        <w:pStyle w:val="2"/>
      </w:pPr>
    </w:p>
    <w:p/>
    <w:p>
      <w:pPr>
        <w:pStyle w:val="2"/>
      </w:pPr>
    </w:p>
    <w:p/>
    <w:p>
      <w:pPr>
        <w:numPr>
          <w:ilvl w:val="0"/>
          <w:numId w:val="0"/>
        </w:numPr>
        <w:spacing w:line="240" w:lineRule="atLeast"/>
        <w:outlineLvl w:val="0"/>
        <w:rPr>
          <w:rFonts w:hint="eastAsia" w:ascii="方正小标宋简体" w:hAnsi="Calibri" w:eastAsia="方正小标宋简体" w:cs="方正小标宋简体"/>
          <w:kern w:val="44"/>
          <w:sz w:val="44"/>
          <w:szCs w:val="44"/>
          <w:lang w:val="en-US" w:eastAsia="zh-CN" w:bidi="ar-SA"/>
        </w:rPr>
      </w:pPr>
      <w:bookmarkStart w:id="88" w:name="_Toc3233"/>
    </w:p>
    <w:p>
      <w:pPr>
        <w:numPr>
          <w:ilvl w:val="0"/>
          <w:numId w:val="0"/>
        </w:numPr>
        <w:spacing w:line="240" w:lineRule="atLeast"/>
        <w:jc w:val="center"/>
        <w:outlineLvl w:val="0"/>
        <w:rPr>
          <w:rFonts w:ascii="方正小标宋简体" w:eastAsia="方正小标宋简体" w:cs="方正小标宋简体"/>
          <w:kern w:val="44"/>
          <w:sz w:val="44"/>
          <w:szCs w:val="44"/>
        </w:rPr>
      </w:pPr>
      <w:r>
        <w:rPr>
          <w:rFonts w:hint="eastAsia" w:ascii="方正小标宋简体" w:hAnsi="Calibri" w:eastAsia="方正小标宋简体" w:cs="方正小标宋简体"/>
          <w:kern w:val="44"/>
          <w:sz w:val="44"/>
          <w:szCs w:val="44"/>
          <w:lang w:val="en-US" w:eastAsia="zh-CN" w:bidi="ar-SA"/>
        </w:rPr>
        <w:t>第三部分</w:t>
      </w:r>
      <w:r>
        <w:rPr>
          <w:rFonts w:hint="eastAsia" w:ascii="方正小标宋简体" w:eastAsia="方正小标宋简体" w:cs="方正小标宋简体"/>
          <w:kern w:val="44"/>
          <w:sz w:val="44"/>
          <w:szCs w:val="44"/>
          <w:lang w:val="en-US" w:eastAsia="zh-CN" w:bidi="ar-SA"/>
        </w:rPr>
        <w:t xml:space="preserve"> </w:t>
      </w:r>
      <w:r>
        <w:rPr>
          <w:rFonts w:hint="eastAsia" w:ascii="方正小标宋简体" w:eastAsia="方正小标宋简体" w:cs="方正小标宋简体"/>
          <w:kern w:val="44"/>
          <w:sz w:val="44"/>
          <w:szCs w:val="44"/>
        </w:rPr>
        <w:t>名词解释</w:t>
      </w:r>
      <w:bookmarkEnd w:id="88"/>
    </w:p>
    <w:p>
      <w:pPr>
        <w:pStyle w:val="17"/>
        <w:ind w:left="420" w:firstLine="420"/>
      </w:pPr>
    </w:p>
    <w:p>
      <w:pPr>
        <w:pStyle w:val="17"/>
        <w:ind w:left="840" w:leftChars="400" w:firstLine="0" w:firstLineChars="0"/>
      </w:pP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1.财政拨款收入：指单位从同级财政部门取得的财政预算资金。</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2.事业收入：指事业单位开展专业业务活动及辅助活动取得的收入。</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4.其他收入：指单位取得的除上述收入以外的各项收入。</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6.年初结转和结余：指以前年度尚未完成、结转到本年按有关规定继续使用的资金。</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7.结余分配：指事业单位按照事业单位会计制度的规定从非财政补助结余中分配的事业基金和职工福利基金等。</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8、年末结转和结余：指单位按有关规定结转到下年或以后年度继续使用的资金。</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9.社会保障和就业208（类）05（款）05（项）:机关事业单位基本养老保险缴费支出：指机关事业单位实施养老保险制度由单位缴纳的基本养老保险费支出。社会保障和就业208（类）05（款）06（项）机关事业单位职业年金缴费支出：指机关事业单位实施养老保险制度由单位实际缴纳的职业年金支出。</w:t>
      </w:r>
    </w:p>
    <w:p>
      <w:pPr>
        <w:pStyle w:val="35"/>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rPr>
        <w:t>10.卫生健康210（类）11（款）0</w:t>
      </w:r>
      <w:r>
        <w:rPr>
          <w:rFonts w:hint="eastAsia" w:ascii="仿宋_GB2312" w:eastAsia="仿宋_GB2312" w:cs="仿宋_GB2312"/>
          <w:sz w:val="32"/>
          <w:szCs w:val="32"/>
          <w:highlight w:val="none"/>
          <w:lang w:val="en-US" w:eastAsia="zh-CN"/>
        </w:rPr>
        <w:t>1</w:t>
      </w:r>
      <w:r>
        <w:rPr>
          <w:rFonts w:hint="eastAsia" w:ascii="仿宋_GB2312" w:eastAsia="仿宋_GB2312" w:cs="仿宋_GB2312"/>
          <w:sz w:val="32"/>
          <w:szCs w:val="32"/>
          <w:highlight w:val="none"/>
        </w:rPr>
        <w:t>（项）:</w:t>
      </w:r>
      <w:r>
        <w:rPr>
          <w:rFonts w:hint="eastAsia" w:ascii="仿宋_GB2312" w:eastAsia="仿宋_GB2312" w:cs="仿宋_GB2312"/>
          <w:sz w:val="32"/>
          <w:szCs w:val="32"/>
          <w:highlight w:val="none"/>
          <w:lang w:val="en-US" w:eastAsia="zh-CN"/>
        </w:rPr>
        <w:t>行政</w:t>
      </w:r>
      <w:r>
        <w:rPr>
          <w:rFonts w:hint="eastAsia" w:ascii="仿宋_GB2312" w:eastAsia="仿宋_GB2312" w:cs="仿宋_GB2312"/>
          <w:sz w:val="32"/>
          <w:szCs w:val="32"/>
          <w:highlight w:val="none"/>
        </w:rPr>
        <w:t>单位医疗：</w:t>
      </w:r>
      <w:r>
        <w:rPr>
          <w:rFonts w:hint="eastAsia" w:ascii="仿宋_GB2312" w:eastAsia="仿宋_GB2312" w:cs="仿宋_GB2312"/>
          <w:sz w:val="32"/>
          <w:szCs w:val="32"/>
          <w:highlight w:val="none"/>
          <w:lang w:val="en-US" w:eastAsia="zh-CN"/>
        </w:rPr>
        <w:t>反映</w:t>
      </w:r>
      <w:r>
        <w:rPr>
          <w:rFonts w:hint="eastAsia" w:ascii="仿宋_GB2312" w:eastAsia="仿宋_GB2312" w:cs="仿宋_GB2312"/>
          <w:sz w:val="32"/>
          <w:szCs w:val="32"/>
          <w:highlight w:val="none"/>
        </w:rPr>
        <w:t>财政部门集中安排的</w:t>
      </w:r>
      <w:r>
        <w:rPr>
          <w:rFonts w:hint="eastAsia" w:ascii="仿宋_GB2312" w:eastAsia="仿宋_GB2312" w:cs="仿宋_GB2312"/>
          <w:sz w:val="32"/>
          <w:szCs w:val="32"/>
          <w:highlight w:val="none"/>
          <w:lang w:val="en-US" w:eastAsia="zh-CN"/>
        </w:rPr>
        <w:t>行政</w:t>
      </w:r>
      <w:r>
        <w:rPr>
          <w:rFonts w:hint="eastAsia" w:ascii="仿宋_GB2312" w:eastAsia="仿宋_GB2312" w:cs="仿宋_GB2312"/>
          <w:sz w:val="32"/>
          <w:szCs w:val="32"/>
          <w:highlight w:val="none"/>
        </w:rPr>
        <w:t>单位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包括实习公务员管理的事业单位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基本医疗保险缴费经费</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未参加医疗保险的行政单位的公费医疗经费，按国家规定享受离休人员、红军老战士待遇人员的医疗经费</w:t>
      </w:r>
      <w:r>
        <w:rPr>
          <w:rFonts w:hint="eastAsia" w:ascii="仿宋_GB2312" w:eastAsia="仿宋_GB2312" w:cs="仿宋_GB2312"/>
          <w:sz w:val="32"/>
          <w:szCs w:val="32"/>
          <w:highlight w:val="none"/>
        </w:rPr>
        <w:t>。</w:t>
      </w:r>
    </w:p>
    <w:p>
      <w:pPr>
        <w:pStyle w:val="35"/>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hint="default" w:ascii="仿宋_GB2312" w:eastAsia="仿宋_GB2312" w:cs="仿宋_GB2312"/>
          <w:sz w:val="32"/>
          <w:szCs w:val="32"/>
          <w:highlight w:val="none"/>
          <w:lang w:val="en-US" w:eastAsia="zh-CN"/>
        </w:rPr>
      </w:pPr>
      <w:r>
        <w:rPr>
          <w:rFonts w:hint="eastAsia" w:ascii="仿宋_GB2312" w:eastAsia="仿宋_GB2312" w:cs="仿宋_GB2312"/>
          <w:sz w:val="32"/>
          <w:szCs w:val="32"/>
          <w:highlight w:val="none"/>
          <w:lang w:val="en-US" w:eastAsia="zh-CN"/>
        </w:rPr>
        <w:t>11.</w:t>
      </w:r>
      <w:r>
        <w:rPr>
          <w:rFonts w:hint="eastAsia" w:ascii="仿宋_GB2312" w:eastAsia="仿宋_GB2312" w:cs="仿宋_GB2312"/>
          <w:sz w:val="32"/>
          <w:szCs w:val="32"/>
          <w:highlight w:val="none"/>
        </w:rPr>
        <w:t>卫生健康210（类）11（款）</w:t>
      </w:r>
      <w:r>
        <w:rPr>
          <w:rFonts w:hint="eastAsia" w:ascii="仿宋_GB2312" w:eastAsia="仿宋_GB2312" w:cs="仿宋_GB2312"/>
          <w:sz w:val="32"/>
          <w:szCs w:val="32"/>
          <w:highlight w:val="none"/>
          <w:lang w:val="en-US" w:eastAsia="zh-CN"/>
        </w:rPr>
        <w:t>33</w:t>
      </w:r>
      <w:r>
        <w:rPr>
          <w:rFonts w:hint="eastAsia" w:ascii="仿宋_GB2312" w:eastAsia="仿宋_GB2312" w:cs="仿宋_GB2312"/>
          <w:sz w:val="32"/>
          <w:szCs w:val="32"/>
          <w:highlight w:val="none"/>
        </w:rPr>
        <w:t>（项）</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公务员医疗补助：反映</w:t>
      </w:r>
      <w:r>
        <w:rPr>
          <w:rFonts w:hint="eastAsia" w:ascii="仿宋_GB2312" w:eastAsia="仿宋_GB2312" w:cs="仿宋_GB2312"/>
          <w:sz w:val="32"/>
          <w:szCs w:val="32"/>
          <w:highlight w:val="none"/>
        </w:rPr>
        <w:t>财政部门</w:t>
      </w:r>
      <w:r>
        <w:rPr>
          <w:rFonts w:hint="eastAsia" w:ascii="仿宋_GB2312" w:eastAsia="仿宋_GB2312" w:cs="仿宋_GB2312"/>
          <w:sz w:val="32"/>
          <w:szCs w:val="32"/>
          <w:highlight w:val="none"/>
          <w:lang w:val="en-US" w:eastAsia="zh-CN"/>
        </w:rPr>
        <w:t>安排的公务员医疗补助经费。</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.住房保障支出221（类）02（款）01（项）:住房公积金：指行政单位按人力资源和社会保障部、财政部规定的基本工资和津贴补贴以及规定比例为职工缴纳的住房公积金。</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w:t>
      </w:r>
      <w:r>
        <w:rPr>
          <w:rFonts w:hint="eastAsia" w:ascii="仿宋_GB2312" w:hAnsi="仿宋_GB2312" w:eastAsia="仿宋_GB2312" w:cs="仿宋_GB2312"/>
          <w:b w:val="0"/>
          <w:bCs/>
          <w:sz w:val="32"/>
          <w:szCs w:val="32"/>
        </w:rPr>
        <w:t>一般公共服务支出</w:t>
      </w:r>
      <w:r>
        <w:rPr>
          <w:rFonts w:hint="eastAsia" w:ascii="仿宋_GB2312" w:hAnsi="仿宋_GB2312" w:eastAsia="仿宋_GB2312" w:cs="仿宋_GB2312"/>
          <w:b w:val="0"/>
          <w:bCs/>
          <w:sz w:val="32"/>
          <w:szCs w:val="32"/>
          <w:lang w:val="en-US" w:eastAsia="zh-CN"/>
        </w:rPr>
        <w:t>201</w:t>
      </w:r>
      <w:r>
        <w:rPr>
          <w:rFonts w:hint="eastAsia" w:ascii="仿宋_GB2312" w:hAnsi="仿宋_GB2312" w:eastAsia="仿宋_GB2312" w:cs="仿宋_GB2312"/>
          <w:b w:val="0"/>
          <w:bCs/>
          <w:color w:val="000000"/>
          <w:kern w:val="0"/>
          <w:sz w:val="32"/>
          <w:szCs w:val="32"/>
        </w:rPr>
        <w:t>（类）</w:t>
      </w:r>
      <w:r>
        <w:rPr>
          <w:rFonts w:hint="eastAsia" w:ascii="仿宋_GB2312" w:hAnsi="仿宋_GB2312" w:eastAsia="仿宋_GB2312" w:cs="仿宋_GB2312"/>
          <w:b w:val="0"/>
          <w:bCs/>
          <w:color w:val="000000"/>
          <w:kern w:val="0"/>
          <w:sz w:val="32"/>
          <w:szCs w:val="32"/>
          <w:lang w:val="en-US" w:eastAsia="zh-CN"/>
        </w:rPr>
        <w:t>29</w:t>
      </w:r>
      <w:r>
        <w:rPr>
          <w:rFonts w:hint="eastAsia" w:ascii="仿宋_GB2312" w:hAnsi="仿宋_GB2312" w:eastAsia="仿宋_GB2312" w:cs="仿宋_GB2312"/>
          <w:b w:val="0"/>
          <w:bCs/>
          <w:color w:val="000000"/>
          <w:kern w:val="0"/>
          <w:sz w:val="32"/>
          <w:szCs w:val="32"/>
        </w:rPr>
        <w:t>（款）01（项）</w:t>
      </w:r>
      <w:r>
        <w:rPr>
          <w:rStyle w:val="20"/>
          <w:rFonts w:hint="eastAsia" w:ascii="仿宋_GB2312" w:eastAsia="仿宋_GB2312" w:cs="仿宋_GB2312"/>
          <w:b w:val="0"/>
          <w:bCs w:val="0"/>
          <w:sz w:val="32"/>
          <w:szCs w:val="32"/>
        </w:rPr>
        <w:t>:行政运行</w:t>
      </w:r>
      <w:r>
        <w:rPr>
          <w:rFonts w:hint="eastAsia" w:ascii="仿宋_GB2312" w:eastAsia="仿宋_GB2312" w:cs="仿宋_GB2312"/>
          <w:sz w:val="32"/>
          <w:szCs w:val="32"/>
        </w:rPr>
        <w:t>：反映行政单位（包括实行公务员管理的事业单位）的基本支出。</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hAnsi="仿宋_GB2312" w:eastAsia="仿宋_GB2312" w:cs="仿宋_GB2312"/>
          <w:b w:val="0"/>
          <w:bCs/>
          <w:sz w:val="32"/>
          <w:szCs w:val="32"/>
        </w:rPr>
        <w:t>一般公共服务支出</w:t>
      </w:r>
      <w:r>
        <w:rPr>
          <w:rStyle w:val="20"/>
          <w:rFonts w:hint="eastAsia" w:ascii="仿宋_GB2312" w:eastAsia="仿宋_GB2312" w:cs="仿宋_GB2312"/>
          <w:b w:val="0"/>
          <w:bCs/>
          <w:sz w:val="32"/>
          <w:szCs w:val="32"/>
        </w:rPr>
        <w:t>（类）01（款）02（项）</w:t>
      </w:r>
      <w:r>
        <w:rPr>
          <w:rStyle w:val="20"/>
          <w:rFonts w:hint="eastAsia" w:ascii="仿宋_GB2312" w:eastAsia="仿宋_GB2312" w:cs="仿宋_GB2312"/>
          <w:b w:val="0"/>
          <w:bCs w:val="0"/>
          <w:sz w:val="32"/>
          <w:szCs w:val="32"/>
        </w:rPr>
        <w:t>:一般行政管理事务</w:t>
      </w:r>
      <w:r>
        <w:rPr>
          <w:rFonts w:hint="eastAsia" w:ascii="仿宋_GB2312" w:eastAsia="仿宋_GB2312" w:cs="仿宋_GB2312"/>
          <w:sz w:val="32"/>
          <w:szCs w:val="32"/>
        </w:rPr>
        <w:t>：反映行政单位（包括实行公务员管理的事业单位）未单独设置项级科目的其他项目支出。</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.基本支出：指为保障机构正常运转、完成日常工作任务而发生的人员支出和公用支出。</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.项目支出：指在基本支出之外为完成特定行政任务和事业发展目标所发生的支出。</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.经营支出：指事业单位在专业业务活动及其辅助活动之外开展非独立核算经营活动发生的支出。</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adjustRightInd/>
        <w:spacing w:line="360" w:lineRule="auto"/>
        <w:ind w:firstLine="640" w:firstLineChars="200"/>
        <w:jc w:val="both"/>
        <w:rPr>
          <w:rFonts w:ascii="仿宋_GB2312" w:eastAsia="仿宋_GB2312" w:cs="仿宋_GB2312"/>
          <w:sz w:val="32"/>
          <w:szCs w:val="32"/>
        </w:rPr>
      </w:pPr>
      <w:r>
        <w:rPr>
          <w:rFonts w:hint="eastAsia" w:ascii="仿宋_GB2312" w:eastAsia="仿宋_GB2312" w:cs="仿宋_GB2312"/>
          <w:sz w:val="32"/>
          <w:szCs w:val="32"/>
          <w:lang w:val="en-US" w:eastAsia="zh-CN"/>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7"/>
        <w:spacing w:after="0" w:line="360" w:lineRule="auto"/>
        <w:ind w:left="0" w:leftChars="0" w:firstLine="420"/>
        <w:sectPr>
          <w:footerReference r:id="rId9" w:type="default"/>
          <w:pgSz w:w="11906" w:h="16838"/>
          <w:pgMar w:top="1440" w:right="1800" w:bottom="1440" w:left="1800" w:header="0" w:footer="992" w:gutter="0"/>
          <w:pgNumType w:fmt="decimal" w:start="1"/>
          <w:cols w:space="720" w:num="1"/>
          <w:docGrid w:type="lines" w:linePitch="312" w:charSpace="0"/>
        </w:sectPr>
      </w:pPr>
    </w:p>
    <w:p>
      <w:pPr>
        <w:pStyle w:val="3"/>
        <w:bidi w:val="0"/>
        <w:jc w:val="both"/>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第四部分 附件</w:t>
      </w:r>
    </w:p>
    <w:p>
      <w:pPr>
        <w:keepNext w:val="0"/>
        <w:keepLines w:val="0"/>
        <w:pageBreakBefore w:val="0"/>
        <w:widowControl/>
        <w:kinsoku/>
        <w:wordWrap/>
        <w:overflowPunct/>
        <w:topLinePunct w:val="0"/>
        <w:autoSpaceDE/>
        <w:autoSpaceDN/>
        <w:bidi w:val="0"/>
        <w:adjustRightInd/>
        <w:snapToGrid/>
        <w:spacing w:line="240" w:lineRule="auto"/>
        <w:ind w:firstLine="0" w:firstLineChars="0"/>
        <w:contextualSpacing/>
        <w:jc w:val="left"/>
        <w:textAlignment w:val="auto"/>
        <w:outlineLvl w:val="0"/>
        <w:rPr>
          <w:rFonts w:hint="eastAsia" w:ascii="仿宋_GB2312" w:hAnsi="仿宋_GB2312" w:eastAsia="仿宋_GB2312" w:cs="仿宋_GB2312"/>
          <w:b w:val="0"/>
          <w:bCs/>
          <w:sz w:val="40"/>
          <w:szCs w:val="40"/>
          <w:highlight w:val="none"/>
          <w:shd w:val="clear" w:color="auto" w:fill="FFFFFF"/>
          <w:lang w:val="en-US" w:eastAsia="zh-CN"/>
        </w:rPr>
      </w:pPr>
      <w:r>
        <w:rPr>
          <w:rFonts w:hint="eastAsia" w:ascii="仿宋_GB2312" w:hAnsi="仿宋_GB2312" w:eastAsia="仿宋_GB2312" w:cs="仿宋_GB2312"/>
          <w:b w:val="0"/>
          <w:bCs/>
          <w:sz w:val="40"/>
          <w:szCs w:val="40"/>
          <w:highlight w:val="none"/>
          <w:shd w:val="clear" w:color="auto" w:fill="FFFFFF"/>
          <w:lang w:val="en-US" w:eastAsia="zh-CN"/>
        </w:rPr>
        <w:t>附件1：</w:t>
      </w:r>
    </w:p>
    <w:p>
      <w:pPr>
        <w:widowControl/>
        <w:spacing w:line="560" w:lineRule="exact"/>
        <w:ind w:right="-105" w:rightChars="-50"/>
        <w:jc w:val="center"/>
        <w:rPr>
          <w:rFonts w:hint="eastAsia" w:ascii="方正小标宋简体" w:eastAsia="方正小标宋简体"/>
          <w:sz w:val="44"/>
          <w:szCs w:val="44"/>
        </w:rPr>
      </w:pPr>
      <w:r>
        <w:rPr>
          <w:rFonts w:hint="eastAsia" w:ascii="方正小标宋简体" w:eastAsia="方正小标宋简体"/>
          <w:sz w:val="44"/>
          <w:szCs w:val="44"/>
        </w:rPr>
        <w:t>阿坝州社会科学界联合会</w:t>
      </w:r>
    </w:p>
    <w:p>
      <w:pPr>
        <w:widowControl/>
        <w:spacing w:line="560" w:lineRule="exact"/>
        <w:ind w:right="-105" w:rightChars="-50"/>
        <w:jc w:val="center"/>
        <w:rPr>
          <w:rFonts w:hint="eastAsia"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4</w:t>
      </w:r>
      <w:r>
        <w:rPr>
          <w:rFonts w:hint="eastAsia" w:ascii="方正小标宋简体" w:eastAsia="方正小标宋简体"/>
          <w:sz w:val="44"/>
          <w:szCs w:val="44"/>
        </w:rPr>
        <w:t>年部门</w:t>
      </w:r>
      <w:r>
        <w:rPr>
          <w:rFonts w:hint="eastAsia" w:ascii="方正小标宋简体" w:eastAsia="方正小标宋简体"/>
          <w:sz w:val="44"/>
          <w:szCs w:val="44"/>
          <w:lang w:val="en-US" w:eastAsia="zh-CN"/>
        </w:rPr>
        <w:t>预算</w:t>
      </w:r>
      <w:r>
        <w:rPr>
          <w:rFonts w:hint="eastAsia" w:ascii="方正小标宋简体" w:eastAsia="方正小标宋简体"/>
          <w:sz w:val="44"/>
          <w:szCs w:val="44"/>
        </w:rPr>
        <w:t>绩效</w:t>
      </w:r>
      <w:r>
        <w:rPr>
          <w:rFonts w:hint="eastAsia" w:ascii="方正小标宋简体" w:eastAsia="方正小标宋简体"/>
          <w:sz w:val="44"/>
          <w:szCs w:val="44"/>
          <w:lang w:val="en-US" w:eastAsia="zh-CN"/>
        </w:rPr>
        <w:t>评价</w:t>
      </w:r>
      <w:r>
        <w:rPr>
          <w:rFonts w:hint="eastAsia" w:ascii="方正小标宋简体" w:eastAsia="方正小标宋简体"/>
          <w:sz w:val="44"/>
          <w:szCs w:val="44"/>
        </w:rPr>
        <w:t>报告</w:t>
      </w:r>
    </w:p>
    <w:p>
      <w:pPr>
        <w:widowControl/>
        <w:adjustRightInd w:val="0"/>
        <w:snapToGrid w:val="0"/>
        <w:spacing w:line="560" w:lineRule="exact"/>
        <w:ind w:right="-105" w:rightChars="-50" w:firstLine="720"/>
        <w:jc w:val="left"/>
        <w:rPr>
          <w:rFonts w:eastAsia="黑体"/>
          <w:color w:val="000000"/>
          <w:kern w:val="0"/>
        </w:rPr>
      </w:pPr>
    </w:p>
    <w:p>
      <w:pPr>
        <w:widowControl/>
        <w:adjustRightInd w:val="0"/>
        <w:snapToGrid w:val="0"/>
        <w:spacing w:line="560" w:lineRule="exact"/>
        <w:ind w:right="-105" w:rightChars="-50" w:firstLine="720"/>
        <w:jc w:val="left"/>
        <w:rPr>
          <w:b/>
          <w:bCs/>
          <w:color w:val="000000"/>
          <w:kern w:val="0"/>
          <w:sz w:val="32"/>
          <w:szCs w:val="32"/>
          <w:lang w:val="zh-CN" w:eastAsia="zh-CN"/>
        </w:rPr>
      </w:pPr>
      <w:r>
        <w:rPr>
          <w:rFonts w:eastAsia="黑体"/>
          <w:b/>
          <w:bCs/>
          <w:color w:val="000000"/>
          <w:kern w:val="0"/>
          <w:sz w:val="32"/>
          <w:szCs w:val="32"/>
        </w:rPr>
        <w:t>一、</w:t>
      </w:r>
      <w:r>
        <w:rPr>
          <w:rFonts w:eastAsia="黑体"/>
          <w:b/>
          <w:bCs/>
          <w:color w:val="000000"/>
          <w:kern w:val="0"/>
          <w:sz w:val="32"/>
          <w:szCs w:val="32"/>
          <w:lang w:val="zh-CN" w:eastAsia="zh-CN"/>
        </w:rPr>
        <w:t>单位概况</w:t>
      </w:r>
    </w:p>
    <w:p>
      <w:pPr>
        <w:widowControl/>
        <w:adjustRightInd w:val="0"/>
        <w:snapToGrid w:val="0"/>
        <w:spacing w:line="560" w:lineRule="exact"/>
        <w:ind w:right="-105" w:rightChars="-50" w:firstLine="720"/>
        <w:jc w:val="left"/>
        <w:rPr>
          <w:rFonts w:hint="eastAsia" w:ascii="楷体" w:eastAsia="楷体"/>
          <w:b/>
          <w:bCs/>
          <w:color w:val="000000"/>
          <w:kern w:val="0"/>
          <w:sz w:val="32"/>
          <w:szCs w:val="32"/>
          <w:lang w:val="zh-CN" w:eastAsia="zh-CN"/>
        </w:rPr>
      </w:pPr>
      <w:r>
        <w:rPr>
          <w:rFonts w:hint="eastAsia" w:ascii="楷体" w:eastAsia="楷体"/>
          <w:b/>
          <w:bCs/>
          <w:color w:val="000000"/>
          <w:kern w:val="0"/>
          <w:sz w:val="32"/>
          <w:szCs w:val="32"/>
          <w:lang w:val="zh-CN" w:eastAsia="zh-CN"/>
        </w:rPr>
        <w:t>（一）机构组成。</w:t>
      </w:r>
    </w:p>
    <w:p>
      <w:pPr>
        <w:pStyle w:val="6"/>
        <w:keepNext w:val="0"/>
        <w:keepLines w:val="0"/>
        <w:pageBreakBefore w:val="0"/>
        <w:widowControl w:val="0"/>
        <w:kinsoku/>
        <w:wordWrap/>
        <w:overflowPunct/>
        <w:topLinePunct w:val="0"/>
        <w:autoSpaceDE/>
        <w:autoSpaceDN/>
        <w:bidi w:val="0"/>
        <w:adjustRightInd/>
        <w:snapToGrid/>
        <w:spacing w:before="0" w:beforeLines="0" w:line="360" w:lineRule="auto"/>
        <w:ind w:right="0" w:rightChars="0" w:firstLine="640" w:firstLineChars="200"/>
        <w:textAlignment w:val="auto"/>
        <w:rPr>
          <w:rFonts w:hint="default" w:ascii="Times New Roman" w:hAnsi="Times New Roman"/>
          <w:color w:val="000000"/>
          <w:spacing w:val="0"/>
          <w:kern w:val="0"/>
          <w:sz w:val="32"/>
          <w:szCs w:val="36"/>
        </w:rPr>
      </w:pPr>
      <w:r>
        <w:rPr>
          <w:rFonts w:ascii="Times New Roman" w:hAnsi="Times New Roman"/>
          <w:color w:val="000000"/>
          <w:spacing w:val="0"/>
          <w:kern w:val="0"/>
          <w:sz w:val="32"/>
          <w:szCs w:val="36"/>
        </w:rPr>
        <w:t>内设四个科室，即办公室、学术科研部、科普宣传部、政研会秘书处。</w:t>
      </w:r>
    </w:p>
    <w:p>
      <w:pPr>
        <w:widowControl/>
        <w:adjustRightInd w:val="0"/>
        <w:snapToGrid w:val="0"/>
        <w:spacing w:line="560" w:lineRule="exact"/>
        <w:ind w:right="-105" w:rightChars="-50" w:firstLine="720"/>
        <w:jc w:val="left"/>
        <w:rPr>
          <w:rFonts w:hint="eastAsia" w:ascii="楷体" w:eastAsia="楷体"/>
          <w:b/>
          <w:bCs/>
          <w:color w:val="000000"/>
          <w:kern w:val="0"/>
          <w:sz w:val="32"/>
          <w:szCs w:val="32"/>
          <w:lang w:val="zh-CN" w:eastAsia="zh-CN"/>
        </w:rPr>
      </w:pPr>
      <w:r>
        <w:rPr>
          <w:rFonts w:hint="eastAsia" w:ascii="楷体" w:eastAsia="楷体"/>
          <w:b/>
          <w:bCs/>
          <w:color w:val="000000"/>
          <w:kern w:val="0"/>
          <w:sz w:val="32"/>
          <w:szCs w:val="32"/>
          <w:lang w:val="zh-CN" w:eastAsia="zh-CN"/>
        </w:rPr>
        <w:t>（二）机构职能。</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kern w:val="0"/>
          <w:sz w:val="32"/>
          <w:szCs w:val="32"/>
        </w:rPr>
        <w:t>根据三定方案规定，</w:t>
      </w:r>
      <w:r>
        <w:rPr>
          <w:rFonts w:hint="eastAsia" w:ascii="仿宋_GB2312" w:eastAsia="仿宋_GB2312"/>
          <w:color w:val="000000"/>
          <w:sz w:val="32"/>
          <w:szCs w:val="32"/>
        </w:rPr>
        <w:t>主要职责是：</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1.负责全州社会科学研究的近期规划和长远规划，拟定全州社会科学研究课题，并组织实施；</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2.负责全州社科界承担四川省社会科学规划、基金课题的申报工作，并组织实施；</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3.组织和推动学术研究，促进和开展学术交流，承担部分社会科学著作出版的资助、协调工作；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4.组织开展社会科学优秀科研成果的评奖活动，协调部分获奖成果的出版、宣传、推广工作；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5.编制全州社会科学普及规划，组织普及马克思主义基本理论和社会科学知识，开展社会科学培训、咨询服务工作；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6.负责全州社会科学咨询业的行业管理工作；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7.促进社会科学学术团体之间、理论工作部门与实际工作部门之间、社会科学界与自然科学界之间的联系和协作；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8.负责新申报的州级社会科学类学会、协会、研究会的资格审查，指导和协调所属各个学会、协会、研究会的工作；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9.联络和指导县区社科联的业务工作；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10.协调做好社会科学界知识分子工作和推荐有突出贡献的社会科学专家、社会科学学术带头人及后备人选的工作；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rPr>
          <w:rFonts w:hint="eastAsia" w:ascii="仿宋_GB2312" w:eastAsia="仿宋_GB2312"/>
          <w:color w:val="000000"/>
          <w:spacing w:val="0"/>
          <w:sz w:val="32"/>
          <w:szCs w:val="32"/>
          <w:shd w:val="clear" w:color="auto" w:fill="FFFFFF"/>
        </w:rPr>
      </w:pPr>
      <w:r>
        <w:rPr>
          <w:rFonts w:hint="eastAsia" w:ascii="仿宋_GB2312" w:eastAsia="仿宋_GB2312"/>
          <w:color w:val="000000"/>
          <w:spacing w:val="0"/>
          <w:sz w:val="32"/>
          <w:szCs w:val="32"/>
          <w:shd w:val="clear" w:color="auto" w:fill="FFFFFF"/>
        </w:rPr>
        <w:t>11.贯彻党的方针政策和国家的法律法规，向党和政府反映社会科学界的意见和要求，关心并维护社会科学工作者及其团体的合法权益等。</w:t>
      </w:r>
    </w:p>
    <w:p>
      <w:pPr>
        <w:widowControl/>
        <w:adjustRightInd w:val="0"/>
        <w:snapToGrid w:val="0"/>
        <w:spacing w:line="560" w:lineRule="exact"/>
        <w:ind w:right="-105" w:rightChars="-50" w:firstLine="720"/>
        <w:jc w:val="left"/>
        <w:rPr>
          <w:rFonts w:hint="eastAsia" w:ascii="楷体" w:eastAsia="楷体"/>
          <w:b/>
          <w:bCs/>
          <w:color w:val="000000"/>
          <w:kern w:val="0"/>
          <w:sz w:val="32"/>
          <w:szCs w:val="32"/>
          <w:lang w:val="zh-CN" w:eastAsia="zh-CN"/>
        </w:rPr>
      </w:pPr>
      <w:r>
        <w:rPr>
          <w:rFonts w:hint="eastAsia" w:ascii="楷体" w:eastAsia="楷体"/>
          <w:b/>
          <w:bCs/>
          <w:color w:val="000000"/>
          <w:kern w:val="0"/>
          <w:sz w:val="32"/>
          <w:szCs w:val="32"/>
          <w:lang w:val="zh-CN" w:eastAsia="zh-CN"/>
        </w:rPr>
        <w:t>（三）人员概况。</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1134"/>
        <w:jc w:val="both"/>
        <w:textAlignment w:val="auto"/>
        <w:rPr>
          <w:rFonts w:ascii="仿宋_GB2312" w:hAnsi="仿宋_GB2312"/>
          <w:sz w:val="32"/>
          <w:szCs w:val="32"/>
        </w:rPr>
      </w:pPr>
      <w:r>
        <w:rPr>
          <w:rFonts w:hint="eastAsia" w:ascii="仿宋_GB2312" w:eastAsia="仿宋_GB2312"/>
          <w:sz w:val="32"/>
          <w:szCs w:val="32"/>
        </w:rPr>
        <w:t>州编委核定州社科联人员编制8名。202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末</w:t>
      </w:r>
      <w:r>
        <w:rPr>
          <w:rFonts w:hint="eastAsia" w:ascii="仿宋_GB2312" w:eastAsia="仿宋_GB2312"/>
          <w:sz w:val="32"/>
          <w:szCs w:val="32"/>
        </w:rPr>
        <w:t>在职职工8人，离休人员0人，退休职工1人已纳入社保。临时工1人。</w:t>
      </w:r>
    </w:p>
    <w:p>
      <w:pPr>
        <w:widowControl/>
        <w:adjustRightInd w:val="0"/>
        <w:snapToGrid w:val="0"/>
        <w:spacing w:line="560" w:lineRule="exact"/>
        <w:ind w:right="-105" w:rightChars="-50" w:firstLine="720"/>
        <w:jc w:val="left"/>
        <w:rPr>
          <w:rFonts w:eastAsia="黑体"/>
          <w:b/>
          <w:bCs/>
          <w:color w:val="000000"/>
          <w:kern w:val="0"/>
          <w:sz w:val="32"/>
          <w:szCs w:val="32"/>
        </w:rPr>
      </w:pPr>
      <w:r>
        <w:rPr>
          <w:rFonts w:eastAsia="黑体"/>
          <w:b/>
          <w:bCs/>
          <w:color w:val="000000"/>
          <w:kern w:val="0"/>
          <w:sz w:val="32"/>
          <w:szCs w:val="32"/>
        </w:rPr>
        <w:t>二、部门财政资金收支情况</w:t>
      </w:r>
    </w:p>
    <w:p>
      <w:pPr>
        <w:widowControl/>
        <w:adjustRightInd w:val="0"/>
        <w:snapToGrid w:val="0"/>
        <w:spacing w:line="560" w:lineRule="exact"/>
        <w:ind w:right="-105" w:rightChars="-50" w:firstLine="720"/>
        <w:jc w:val="left"/>
        <w:rPr>
          <w:rFonts w:hint="eastAsia" w:ascii="楷体" w:eastAsia="楷体"/>
          <w:b/>
          <w:bCs/>
          <w:color w:val="000000"/>
          <w:kern w:val="0"/>
          <w:sz w:val="32"/>
          <w:szCs w:val="32"/>
          <w:lang w:val="zh-CN" w:eastAsia="zh-CN"/>
        </w:rPr>
      </w:pPr>
      <w:r>
        <w:rPr>
          <w:rFonts w:hint="eastAsia" w:ascii="楷体" w:eastAsia="楷体"/>
          <w:b/>
          <w:bCs/>
          <w:color w:val="000000"/>
          <w:kern w:val="0"/>
          <w:sz w:val="32"/>
          <w:szCs w:val="32"/>
          <w:lang w:val="zh-CN" w:eastAsia="zh-CN"/>
        </w:rPr>
        <w:t>（一）部门财政资金收入情况。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年收入年初预算安排</w:t>
      </w:r>
      <w:r>
        <w:rPr>
          <w:rFonts w:hint="eastAsia" w:ascii="仿宋_GB2312" w:eastAsia="仿宋_GB2312"/>
          <w:sz w:val="32"/>
          <w:szCs w:val="32"/>
          <w:lang w:val="en-US" w:eastAsia="zh-CN"/>
        </w:rPr>
        <w:t>275.57</w:t>
      </w:r>
      <w:r>
        <w:rPr>
          <w:rFonts w:hint="eastAsia" w:ascii="仿宋_GB2312" w:eastAsia="仿宋_GB2312"/>
          <w:sz w:val="32"/>
          <w:szCs w:val="32"/>
        </w:rPr>
        <w:t>万元，较上年增加</w:t>
      </w:r>
      <w:r>
        <w:rPr>
          <w:rFonts w:hint="eastAsia" w:ascii="仿宋_GB2312" w:eastAsia="仿宋_GB2312"/>
          <w:sz w:val="32"/>
          <w:szCs w:val="32"/>
          <w:lang w:val="en-US" w:eastAsia="zh-CN"/>
        </w:rPr>
        <w:t>13.64</w:t>
      </w:r>
      <w:r>
        <w:rPr>
          <w:rFonts w:hint="eastAsia" w:ascii="仿宋_GB2312" w:eastAsia="仿宋_GB2312"/>
          <w:sz w:val="32"/>
          <w:szCs w:val="32"/>
        </w:rPr>
        <w:t>万元，增幅</w:t>
      </w:r>
      <w:r>
        <w:rPr>
          <w:rFonts w:hint="eastAsia" w:ascii="仿宋_GB2312" w:eastAsia="仿宋_GB2312"/>
          <w:sz w:val="32"/>
          <w:szCs w:val="32"/>
          <w:lang w:val="en-US" w:eastAsia="zh-CN"/>
        </w:rPr>
        <w:t>5.2</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年支出年初预算安排</w:t>
      </w:r>
      <w:r>
        <w:rPr>
          <w:rFonts w:hint="eastAsia" w:ascii="仿宋_GB2312" w:eastAsia="仿宋_GB2312"/>
          <w:sz w:val="32"/>
          <w:szCs w:val="32"/>
          <w:lang w:val="en-US" w:eastAsia="zh-CN"/>
        </w:rPr>
        <w:t>275.57</w:t>
      </w:r>
      <w:r>
        <w:rPr>
          <w:rFonts w:hint="eastAsia" w:ascii="仿宋_GB2312" w:eastAsia="仿宋_GB2312"/>
          <w:sz w:val="32"/>
          <w:szCs w:val="32"/>
        </w:rPr>
        <w:t>万元，较上年增加</w:t>
      </w:r>
      <w:r>
        <w:rPr>
          <w:rFonts w:hint="eastAsia" w:ascii="仿宋_GB2312" w:eastAsia="仿宋_GB2312"/>
          <w:sz w:val="32"/>
          <w:szCs w:val="32"/>
          <w:lang w:val="en-US" w:eastAsia="zh-CN"/>
        </w:rPr>
        <w:t>13.64</w:t>
      </w:r>
      <w:r>
        <w:rPr>
          <w:rFonts w:hint="eastAsia" w:ascii="仿宋_GB2312" w:eastAsia="仿宋_GB2312"/>
          <w:sz w:val="32"/>
          <w:szCs w:val="32"/>
        </w:rPr>
        <w:t>万元，增幅</w:t>
      </w:r>
      <w:r>
        <w:rPr>
          <w:rFonts w:hint="eastAsia" w:ascii="仿宋_GB2312" w:eastAsia="仿宋_GB2312"/>
          <w:sz w:val="32"/>
          <w:szCs w:val="32"/>
          <w:lang w:val="en-US" w:eastAsia="zh-CN"/>
        </w:rPr>
        <w:t>5.2</w:t>
      </w:r>
      <w:r>
        <w:rPr>
          <w:rFonts w:hint="eastAsia" w:ascii="仿宋_GB2312" w:eastAsia="仿宋_GB2312"/>
          <w:sz w:val="32"/>
          <w:szCs w:val="32"/>
        </w:rPr>
        <w:t>%。其中基本经费</w:t>
      </w:r>
      <w:r>
        <w:rPr>
          <w:rFonts w:hint="eastAsia" w:ascii="仿宋_GB2312" w:eastAsia="仿宋_GB2312"/>
          <w:sz w:val="32"/>
          <w:szCs w:val="32"/>
          <w:lang w:val="en-US" w:eastAsia="zh-CN"/>
        </w:rPr>
        <w:t>277.11</w:t>
      </w:r>
      <w:r>
        <w:rPr>
          <w:rFonts w:hint="eastAsia" w:ascii="仿宋_GB2312" w:eastAsia="仿宋_GB2312"/>
          <w:sz w:val="32"/>
          <w:szCs w:val="32"/>
        </w:rPr>
        <w:t>万元，较上年增加</w:t>
      </w:r>
      <w:r>
        <w:rPr>
          <w:rFonts w:hint="eastAsia" w:ascii="仿宋_GB2312" w:eastAsia="仿宋_GB2312"/>
          <w:sz w:val="32"/>
          <w:szCs w:val="32"/>
          <w:lang w:val="en-US" w:eastAsia="zh-CN"/>
        </w:rPr>
        <w:t>45.18</w:t>
      </w:r>
      <w:r>
        <w:rPr>
          <w:rFonts w:hint="eastAsia" w:ascii="仿宋_GB2312" w:eastAsia="仿宋_GB2312"/>
          <w:sz w:val="32"/>
          <w:szCs w:val="32"/>
        </w:rPr>
        <w:t>万元，增幅</w:t>
      </w:r>
      <w:r>
        <w:rPr>
          <w:rFonts w:hint="eastAsia" w:ascii="仿宋_GB2312" w:eastAsia="仿宋_GB2312"/>
          <w:sz w:val="32"/>
          <w:szCs w:val="32"/>
          <w:lang w:val="en-US" w:eastAsia="zh-CN"/>
        </w:rPr>
        <w:t>19.48</w:t>
      </w:r>
      <w:r>
        <w:rPr>
          <w:rFonts w:hint="eastAsia" w:ascii="仿宋_GB2312" w:eastAsia="仿宋_GB2312"/>
          <w:sz w:val="32"/>
          <w:szCs w:val="32"/>
        </w:rPr>
        <w:t>%；项目经费</w:t>
      </w:r>
      <w:r>
        <w:rPr>
          <w:rFonts w:hint="eastAsia" w:ascii="仿宋_GB2312" w:eastAsia="仿宋_GB2312"/>
          <w:sz w:val="32"/>
          <w:szCs w:val="32"/>
          <w:lang w:val="en-US" w:eastAsia="zh-CN"/>
        </w:rPr>
        <w:t>162.89</w:t>
      </w:r>
      <w:r>
        <w:rPr>
          <w:rFonts w:hint="eastAsia" w:ascii="仿宋_GB2312" w:eastAsia="仿宋_GB2312"/>
          <w:sz w:val="32"/>
          <w:szCs w:val="32"/>
        </w:rPr>
        <w:t>万元，较上年增加</w:t>
      </w:r>
      <w:r>
        <w:rPr>
          <w:rFonts w:hint="eastAsia" w:ascii="仿宋_GB2312" w:eastAsia="仿宋_GB2312"/>
          <w:sz w:val="32"/>
          <w:szCs w:val="32"/>
          <w:lang w:val="en-US" w:eastAsia="zh-CN"/>
        </w:rPr>
        <w:t>132.89</w:t>
      </w:r>
      <w:r>
        <w:rPr>
          <w:rFonts w:hint="eastAsia" w:ascii="仿宋_GB2312" w:eastAsia="仿宋_GB2312"/>
          <w:sz w:val="32"/>
          <w:szCs w:val="32"/>
        </w:rPr>
        <w:t>万元，增幅</w:t>
      </w:r>
      <w:r>
        <w:rPr>
          <w:rFonts w:hint="eastAsia" w:ascii="仿宋_GB2312" w:eastAsia="仿宋_GB2312"/>
          <w:sz w:val="32"/>
          <w:szCs w:val="32"/>
          <w:lang w:val="en-US" w:eastAsia="zh-CN"/>
        </w:rPr>
        <w:t>342.97</w:t>
      </w:r>
      <w:r>
        <w:rPr>
          <w:rFonts w:hint="eastAsia" w:ascii="仿宋_GB2312" w:eastAsia="仿宋_GB2312"/>
          <w:sz w:val="32"/>
          <w:szCs w:val="32"/>
        </w:rPr>
        <w:t>%。</w:t>
      </w:r>
    </w:p>
    <w:p>
      <w:pPr>
        <w:widowControl/>
        <w:adjustRightInd w:val="0"/>
        <w:snapToGrid w:val="0"/>
        <w:spacing w:line="560" w:lineRule="exact"/>
        <w:ind w:right="-105" w:rightChars="-50" w:firstLine="720"/>
        <w:jc w:val="left"/>
        <w:rPr>
          <w:rFonts w:hint="eastAsia" w:ascii="楷体" w:eastAsia="楷体"/>
          <w:b/>
          <w:bCs/>
          <w:color w:val="000000"/>
          <w:kern w:val="0"/>
          <w:sz w:val="32"/>
          <w:szCs w:val="32"/>
          <w:lang w:val="zh-CN" w:eastAsia="zh-CN"/>
        </w:rPr>
      </w:pPr>
      <w:r>
        <w:rPr>
          <w:rFonts w:hint="eastAsia" w:ascii="楷体" w:eastAsia="楷体"/>
          <w:b/>
          <w:bCs/>
          <w:color w:val="000000"/>
          <w:kern w:val="0"/>
          <w:sz w:val="32"/>
          <w:szCs w:val="32"/>
          <w:lang w:val="zh-CN" w:eastAsia="zh-CN"/>
        </w:rPr>
        <w:t>（二）部门财政资金支出情况。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年支出总额为</w:t>
      </w:r>
      <w:r>
        <w:rPr>
          <w:rFonts w:hint="eastAsia" w:ascii="仿宋_GB2312" w:eastAsia="仿宋_GB2312"/>
          <w:sz w:val="32"/>
          <w:szCs w:val="32"/>
          <w:lang w:val="en-US" w:eastAsia="zh-CN"/>
        </w:rPr>
        <w:t>440.00</w:t>
      </w:r>
      <w:r>
        <w:rPr>
          <w:rFonts w:hint="eastAsia" w:ascii="仿宋_GB2312" w:eastAsia="仿宋_GB2312"/>
          <w:sz w:val="32"/>
          <w:szCs w:val="32"/>
        </w:rPr>
        <w:t>万元，202</w:t>
      </w:r>
      <w:r>
        <w:rPr>
          <w:rFonts w:hint="eastAsia" w:ascii="仿宋_GB2312" w:eastAsia="仿宋_GB2312"/>
          <w:sz w:val="32"/>
          <w:szCs w:val="32"/>
          <w:lang w:val="en-US" w:eastAsia="zh-CN"/>
        </w:rPr>
        <w:t>3</w:t>
      </w:r>
      <w:r>
        <w:rPr>
          <w:rFonts w:hint="eastAsia" w:ascii="仿宋_GB2312" w:eastAsia="仿宋_GB2312"/>
          <w:sz w:val="32"/>
          <w:szCs w:val="32"/>
        </w:rPr>
        <w:t>年为299.39万元，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b w:val="0"/>
          <w:bCs w:val="0"/>
          <w:sz w:val="32"/>
          <w:szCs w:val="32"/>
          <w:lang w:val="en-US" w:eastAsia="zh-CN"/>
        </w:rPr>
        <w:t>140.61</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eastAsia="zh-CN"/>
        </w:rPr>
        <w:t>增长46.97</w:t>
      </w:r>
      <w:r>
        <w:rPr>
          <w:rFonts w:hint="eastAsia" w:ascii="仿宋_GB2312" w:hAnsi="仿宋_GB2312" w:eastAsia="仿宋_GB2312" w:cs="仿宋_GB2312"/>
          <w:b w:val="0"/>
          <w:bCs w:val="0"/>
          <w:sz w:val="32"/>
          <w:szCs w:val="32"/>
        </w:rPr>
        <w:t>%。</w:t>
      </w:r>
      <w:r>
        <w:rPr>
          <w:rFonts w:hint="eastAsia" w:ascii="仿宋_GB2312" w:eastAsia="仿宋_GB2312"/>
          <w:sz w:val="32"/>
          <w:szCs w:val="32"/>
        </w:rPr>
        <w:t>主要是项目经费</w:t>
      </w:r>
      <w:r>
        <w:rPr>
          <w:rFonts w:hint="eastAsia" w:ascii="仿宋_GB2312" w:eastAsia="仿宋_GB2312"/>
          <w:sz w:val="32"/>
          <w:szCs w:val="32"/>
          <w:lang w:val="en-US" w:eastAsia="zh-CN"/>
        </w:rPr>
        <w:t>大幅增加</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sz w:val="32"/>
          <w:szCs w:val="32"/>
          <w:lang w:eastAsia="zh-CN" w:bidi="ar-SA"/>
        </w:rPr>
      </w:pPr>
      <w:r>
        <w:rPr>
          <w:rFonts w:ascii="Times New Roman" w:hAnsi="Times New Roman" w:eastAsia="楷体_GB2312" w:cs="Times New Roman"/>
          <w:b/>
          <w:sz w:val="32"/>
          <w:szCs w:val="32"/>
          <w:lang w:bidi="ar-SA"/>
        </w:rPr>
        <w:t>（三）</w:t>
      </w:r>
      <w:r>
        <w:rPr>
          <w:rFonts w:hint="default" w:ascii="Times New Roman" w:hAnsi="Times New Roman" w:eastAsia="楷体_GB2312" w:cs="Times New Roman"/>
          <w:b/>
          <w:sz w:val="32"/>
          <w:szCs w:val="32"/>
          <w:lang w:bidi="ar-SA"/>
        </w:rPr>
        <w:t>结余分配和结转结余情况</w:t>
      </w:r>
      <w:r>
        <w:rPr>
          <w:rFonts w:hint="eastAsia" w:ascii="Times New Roman" w:hAnsi="Times New Roman" w:eastAsia="楷体_GB2312" w:cs="Times New Roman"/>
          <w:b/>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结余分配情况：本年度无结余分配。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rPr>
      </w:pPr>
      <w:r>
        <w:rPr>
          <w:rFonts w:hint="eastAsia" w:ascii="Times New Roman" w:hAnsi="Times New Roman" w:eastAsia="仿宋_GB2312" w:cs="Times New Roman"/>
          <w:color w:val="auto"/>
          <w:sz w:val="32"/>
          <w:szCs w:val="32"/>
          <w:lang w:val="en-US" w:eastAsia="zh-CN" w:bidi="ar-SA"/>
        </w:rPr>
        <w:t>结转结余情况：本年度无结转结余。</w:t>
      </w:r>
    </w:p>
    <w:p>
      <w:pPr>
        <w:widowControl/>
        <w:spacing w:line="560" w:lineRule="exact"/>
        <w:ind w:firstLine="643" w:firstLineChars="200"/>
        <w:rPr>
          <w:rFonts w:eastAsia="黑体"/>
          <w:b/>
          <w:bCs/>
          <w:color w:val="000000"/>
          <w:kern w:val="0"/>
          <w:sz w:val="32"/>
          <w:szCs w:val="32"/>
        </w:rPr>
      </w:pPr>
      <w:r>
        <w:rPr>
          <w:rFonts w:eastAsia="黑体"/>
          <w:b/>
          <w:bCs/>
          <w:color w:val="000000"/>
          <w:kern w:val="0"/>
          <w:sz w:val="32"/>
          <w:szCs w:val="32"/>
        </w:rPr>
        <w:t>三、部门财政支出管理情况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contextualSpacing/>
        <w:jc w:val="left"/>
        <w:textAlignment w:val="auto"/>
        <w:outlineLvl w:val="1"/>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（一）</w:t>
      </w:r>
      <w:r>
        <w:rPr>
          <w:rFonts w:hint="eastAsia" w:eastAsia="楷体_GB2312" w:cs="Times New Roman"/>
          <w:b/>
          <w:bCs/>
          <w:color w:val="000000"/>
          <w:kern w:val="0"/>
          <w:sz w:val="32"/>
          <w:szCs w:val="32"/>
          <w:highlight w:val="none"/>
          <w:shd w:val="clear" w:color="auto" w:fill="FFFFFF"/>
          <w:lang w:val="zh-CN" w:eastAsia="zh-CN" w:bidi="ar-SA"/>
        </w:rPr>
        <w:t>部门预算</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总体绩效分析。</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lang w:val="zh-CN" w:eastAsia="zh-CN"/>
        </w:rPr>
      </w:pPr>
      <w:r>
        <w:rPr>
          <w:rFonts w:hint="eastAsia" w:ascii="黑体" w:hAnsi="黑体" w:eastAsia="黑体" w:cs="黑体"/>
          <w:b/>
          <w:bCs/>
          <w:color w:val="auto"/>
          <w:sz w:val="32"/>
          <w:szCs w:val="32"/>
          <w:lang w:val="en-US" w:eastAsia="zh-CN" w:bidi="ar-SA"/>
        </w:rPr>
        <w:t>1．</w:t>
      </w:r>
      <w:r>
        <w:rPr>
          <w:rFonts w:hint="eastAsia" w:ascii="黑体" w:hAnsi="黑体" w:eastAsia="黑体" w:cs="黑体"/>
          <w:b/>
          <w:bCs/>
          <w:color w:val="auto"/>
          <w:sz w:val="32"/>
          <w:szCs w:val="32"/>
          <w:lang w:val="zh-CN" w:eastAsia="zh-CN" w:bidi="ar-SA"/>
        </w:rPr>
        <w:t>履职效能</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（1）深化理论武装，强化思想引领，凝聚奋进力量。一是加强全州社科界的思想教育。</w:t>
      </w:r>
      <w:r>
        <w:rPr>
          <w:rFonts w:hint="eastAsia" w:ascii="仿宋_GB2312" w:hAnsi="仿宋_GB2312" w:eastAsia="仿宋_GB2312" w:cs="仿宋_GB2312"/>
          <w:sz w:val="32"/>
          <w:szCs w:val="32"/>
          <w:shd w:val="clear" w:color="auto" w:fill="FFFFFF"/>
        </w:rPr>
        <w:t>二是机关学习提升。</w:t>
      </w:r>
      <w:r>
        <w:rPr>
          <w:rFonts w:hint="eastAsia" w:ascii="仿宋_GB2312" w:hAnsi="仿宋_GB2312" w:eastAsia="仿宋_GB2312" w:cs="仿宋_GB2312"/>
          <w:sz w:val="32"/>
          <w:szCs w:val="32"/>
        </w:rPr>
        <w:t>三是抓实上级决策部署的落实落地。四是履职尽责强化意识形态工作责任落实。五是扎实开展宣传阐释，把党的声音传到基层。六是扎实推进思想政治研究工作。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升科研水平，规范管理方式，服务决策咨询。发挥州社科资金项目杠杆牵引作用，加强学术科研平台建设，组织开展社科课题研究。一是完成2023年度-2024年度课题结项工作。结项120项课题，拨付课题资助经费100万元。二是有序开展2024年度-2025年度课题申报、立项工作，确定立项161项课题</w:t>
      </w:r>
      <w:r>
        <w:rPr>
          <w:rFonts w:hint="eastAsia" w:ascii="仿宋_GB2312" w:hAnsi="仿宋_GB2312" w:eastAsia="仿宋_GB2312" w:cs="仿宋_GB2312"/>
          <w:sz w:val="32"/>
          <w:szCs w:val="32"/>
          <w:shd w:val="clear" w:color="auto" w:fill="FFFFFF"/>
        </w:rPr>
        <w:t>。三是抓好</w:t>
      </w:r>
      <w:r>
        <w:rPr>
          <w:rFonts w:hint="eastAsia" w:ascii="仿宋_GB2312" w:hAnsi="仿宋_GB2312" w:eastAsia="仿宋_GB2312" w:cs="仿宋_GB2312"/>
          <w:sz w:val="32"/>
          <w:szCs w:val="32"/>
        </w:rPr>
        <w:t>重点课题研究基地建设。认定阿坝师范学院“藏羌彝走廊特色文化产业发展研究中心”、“嘉绒文化研究中心”、“四川民族地区人工智能教育应用研究中心”等3个基地为阿坝州首批社科重点研究基地。制定《阿坝州哲学社会科学重点研究基地管理办法（试行）》明确社科重点研究基地职责任务。四是全力履行资政职能。与四川省民族研究所合作，前往青海、云南、贵州三省民族地区开展横向比较研究，形成《阿坝州建设民族地区高质量发展典范应用对策研究》、《社科专报》、《社科参阅》供州委决策参考，得到了州委州政府主要领导高度评价。五是进一步规范科研管理。制定印发《州社科资金项目评审工作纪律》《州社科专项资金课题结题鉴定评审标准》等管理制度，推进全州社科研究管理更加规范。六是</w:t>
      </w:r>
      <w:r>
        <w:rPr>
          <w:rFonts w:hint="eastAsia" w:ascii="仿宋_GB2312" w:hAnsi="仿宋_GB2312" w:eastAsia="仿宋_GB2312" w:cs="仿宋_GB2312"/>
          <w:sz w:val="32"/>
          <w:szCs w:val="32"/>
          <w:shd w:val="clear" w:color="auto" w:fill="FFFFFF"/>
        </w:rPr>
        <w:t>深化藏羌地域历史文化挖掘研究。</w:t>
      </w:r>
      <w:r>
        <w:rPr>
          <w:rFonts w:hint="eastAsia" w:ascii="仿宋_GB2312" w:hAnsi="仿宋_GB2312" w:eastAsia="仿宋_GB2312" w:cs="仿宋_GB2312"/>
          <w:sz w:val="32"/>
          <w:szCs w:val="32"/>
        </w:rPr>
        <w:t>“阿坝史话系列丛书”编创工作进入收官阶段，已完成11个县“一县一史话”编撰印刷，《松州史话》已经进入出版印刷审批环节，《若尔盖史话》已申报结项验收。年内《马尔康史话》、《麻风村纪事》、《边疆服务.川西区辑注》3本专著出版印刷。七是推进学术活动开展。与社科基地共同举办“</w:t>
      </w:r>
      <w:r>
        <w:rPr>
          <w:rFonts w:hint="eastAsia" w:ascii="仿宋_GB2312" w:hAnsi="仿宋_GB2312" w:eastAsia="仿宋_GB2312" w:cs="仿宋_GB2312"/>
          <w:sz w:val="32"/>
          <w:szCs w:val="32"/>
          <w:shd w:val="clear" w:color="auto" w:fill="FFFFFF"/>
        </w:rPr>
        <w:t>第二届嘉绒文化研讨会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壤巴拉牦牛绒文化节新质生产力助推农牧经济高质量发展论坛</w:t>
      </w:r>
      <w:r>
        <w:rPr>
          <w:rFonts w:hint="eastAsia" w:ascii="仿宋_GB2312" w:hAnsi="仿宋_GB2312" w:eastAsia="仿宋_GB2312" w:cs="仿宋_GB2312"/>
          <w:sz w:val="32"/>
          <w:szCs w:val="32"/>
        </w:rPr>
        <w:t>”等学术活动。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（3）面向基层一线、增强服务效能，提升人文素养。一是整合资源发挥平台作用，刊载、转发各类社科普及宣传信息3200余条，科普宣传视频400余条</w:t>
      </w:r>
      <w:r>
        <w:rPr>
          <w:rStyle w:val="20"/>
          <w:rFonts w:hint="eastAsia" w:ascii="仿宋_GB2312" w:hAnsi="仿宋_GB2312" w:eastAsia="仿宋_GB2312" w:cs="仿宋_GB2312"/>
          <w:b w:val="0"/>
          <w:sz w:val="32"/>
          <w:szCs w:val="32"/>
          <w:shd w:val="clear" w:color="auto" w:fill="FFFFFF"/>
        </w:rPr>
        <w:t>。</w:t>
      </w:r>
      <w:r>
        <w:rPr>
          <w:rFonts w:hint="eastAsia" w:ascii="仿宋_GB2312" w:hAnsi="仿宋_GB2312" w:eastAsia="仿宋_GB2312" w:cs="仿宋_GB2312"/>
          <w:sz w:val="32"/>
          <w:szCs w:val="32"/>
        </w:rPr>
        <w:t>二是深化科普宣传活动。开展“三下乡”、“贯彻落实省委十二届五次全会精神，推进阿坝州高质量发展”科普宣传活动、“七.一”主题党日暨社科普及宣传活动等科普宣传活动。三是举办“阿坝社科大讲堂”10余场。四是做好《阿坝论坛》编创出刊《阿坝论坛》4期。五是抓好社科普及基地创建。开展第6批社科普及基地创建工作，命名“ 红原县瓦切小学红色教育社科普及基地”、“若尔盖巴西会议纪念馆社科普及基地”、“理县甘堡藏寨爱国主义教育社科普及基地”、“小金县达维镇小学红色教育社科普及基地”、“阿坝藏族羌族自治州人民医院生命健康科普馆”“金山玫瑰产业园阿坝州社科普及基地”等6个相关单位为州级社科普及基地，实现社科基地在全州13县全覆盖。六是积极参与开展四川省社科馆征集图书文献与展陈实物工作，面向全州征集报送图书20种200余册，在省社科馆展览，展示阿坝州社科界发展成就与风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shd w:val="clear" w:color="auto" w:fill="FFFFFF"/>
        </w:rPr>
        <w:t>加强联络服务，实施“借智”办社科，阵地规范有序。一是</w:t>
      </w:r>
      <w:r>
        <w:rPr>
          <w:rFonts w:hint="eastAsia" w:ascii="仿宋_GB2312" w:hAnsi="仿宋_GB2312" w:eastAsia="仿宋_GB2312" w:cs="仿宋_GB2312"/>
          <w:sz w:val="32"/>
          <w:szCs w:val="32"/>
        </w:rPr>
        <w:t>加大对所属学会（州羌学会）的管理力度，召开所属学会联系会，主要负责人深入羌学会指导调研3次，指导羌学会于11月底进行换届。二是结合全州社科界实际，实施“开门办社科、借智办社科”工作模式，积极拓展与省社科院、省民研所、四川大学、西南民族大学等省内知名科研单位、高校的合作。成功协办在四川省社科院在茂县举办的“生态文明天府论坛”，促成州委与省社科院签署《四川省社会科学院 中共阿坝州委战略合作协议》，省社科院在州社科联挂牌成立“四川省社会科学院科研教学基地”，借助省社科院科研团队力量，开展《川西北生态示范区能耗指标调整对策》《龙头景区机制体制改革研究》2项合作研究课题，围绕我州发展中的难点提供高质量智力服务。三是注重联络沟通，加强与各级社科组织的交流，积极参与各地开展的社科活动，广泛学习，促进提升。中国社科院拉丁美州研究所到我州开展松潘县开展“中国式现代化：四川省阿坝州的建设经验”课题调研。先后参与“高质量发展天府论坛.新质生产力与成渝中部崛起学术研讨会”、 “中国土司制度与土司文化学术研讨会”、“嘉绒文化研讨会”“2024汶川大禹华诞暨非遗文化体验系列活动”等系列专题学术活动。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（5）夯实基础工作，规范社科管理，提高发展水平。一是抓好机关党的建设。二是推进党风廉政建设。</w:t>
      </w:r>
      <w:r>
        <w:rPr>
          <w:rFonts w:hint="eastAsia" w:ascii="仿宋_GB2312" w:hAnsi="仿宋_GB2312" w:eastAsia="仿宋_GB2312" w:cs="仿宋_GB2312"/>
          <w:sz w:val="32"/>
          <w:szCs w:val="32"/>
          <w:shd w:val="clear" w:color="auto" w:fill="FFFFFF"/>
        </w:rPr>
        <w:t>三是抓好州社科队伍建设。召开第四次代表大会，选举产生新一届理事会。召开州政研会第二次代表大会，选举产生州政研会新一届班子，进一步理顺州政研会机制体制。四是</w:t>
      </w:r>
      <w:r>
        <w:rPr>
          <w:rFonts w:hint="eastAsia" w:ascii="仿宋_GB2312" w:hAnsi="仿宋_GB2312" w:eastAsia="仿宋_GB2312" w:cs="仿宋_GB2312"/>
          <w:sz w:val="32"/>
          <w:szCs w:val="32"/>
        </w:rPr>
        <w:t>全面抓实巡察反馈问题整改。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以上总体目标及主要任务，在2024年均已完成，根据评分标准，根据评分标准，该项指标不扣分，得15分。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黑体" w:hAnsi="黑体" w:eastAsia="黑体" w:cs="黑体"/>
          <w:b/>
          <w:bCs/>
          <w:color w:val="auto"/>
          <w:sz w:val="32"/>
          <w:szCs w:val="32"/>
          <w:lang w:val="zh-CN" w:eastAsia="zh-CN" w:bidi="ar-SA"/>
        </w:rPr>
      </w:pPr>
      <w:r>
        <w:rPr>
          <w:rFonts w:hint="eastAsia" w:ascii="黑体" w:hAnsi="黑体" w:eastAsia="黑体" w:cs="黑体"/>
          <w:b/>
          <w:bCs/>
          <w:color w:val="auto"/>
          <w:sz w:val="32"/>
          <w:szCs w:val="32"/>
          <w:lang w:val="zh-CN" w:eastAsia="zh-CN" w:bidi="ar-SA"/>
        </w:rPr>
        <w:t>2.预算管理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29"/>
          <w:lang w:val="zh-CN" w:eastAsia="zh-CN" w:bidi="ar-SA"/>
        </w:rPr>
      </w:pPr>
      <w:r>
        <w:rPr>
          <w:rFonts w:hint="eastAsia" w:ascii="仿宋_GB2312" w:hAnsi="仿宋_GB2312" w:eastAsia="仿宋_GB2312" w:cs="仿宋_GB2312"/>
          <w:color w:val="auto"/>
          <w:sz w:val="32"/>
          <w:szCs w:val="29"/>
          <w:lang w:val="zh-CN" w:eastAsia="zh-CN" w:bidi="ar-SA"/>
        </w:rPr>
        <w:t>（</w:t>
      </w:r>
      <w:r>
        <w:rPr>
          <w:rFonts w:hint="eastAsia" w:ascii="仿宋_GB2312" w:hAnsi="仿宋_GB2312" w:eastAsia="仿宋_GB2312" w:cs="仿宋_GB2312"/>
          <w:color w:val="auto"/>
          <w:sz w:val="32"/>
          <w:szCs w:val="29"/>
          <w:lang w:val="en-US" w:eastAsia="zh-CN" w:bidi="ar-SA"/>
        </w:rPr>
        <w:t>1</w:t>
      </w:r>
      <w:r>
        <w:rPr>
          <w:rFonts w:hint="eastAsia" w:ascii="仿宋_GB2312" w:hAnsi="仿宋_GB2312" w:eastAsia="仿宋_GB2312" w:cs="仿宋_GB2312"/>
          <w:color w:val="auto"/>
          <w:sz w:val="32"/>
          <w:szCs w:val="29"/>
          <w:lang w:val="zh-CN" w:eastAsia="zh-CN" w:bidi="ar-SA"/>
        </w:rPr>
        <w:t>）预算编制质量</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根据决算报表，本单位财政拨款全年预算数为439.99万元，本年无结转，同口径财政拨款预算执行数为439.99万元，财政拨款预算偏离度=439.99-439.99)/439.99=0。</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综上，根据评分标准，该项指标不扣分，得8分。</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sz w:val="32"/>
          <w:szCs w:val="32"/>
          <w:lang w:val="zh-CN"/>
        </w:rPr>
        <w:t>单位收入统筹</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根据单位自有资金收入执行情况表，本单位自有收入全年执行数为0万元，自有收入年初预算数为0万元。</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综上，根据评分标准，该项指标不扣分，得4分。</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）支出执行进度</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根据1-6月可执行情况表，本单位1至6月预算执行数44.51%。</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根据1-10月可执行情况表，本单位1至10月预算执行数超过71.44%。</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综上，根据评分标准，该项指标扣分0.8分，得5.2分。</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）预算年终结余</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根据决算报表，本单位预算总金额为</w:t>
      </w:r>
      <w:r>
        <w:rPr>
          <w:rFonts w:hint="eastAsia" w:ascii="仿宋_GB2312" w:hAnsi="仿宋_GB2312" w:eastAsia="仿宋_GB2312" w:cs="仿宋_GB2312"/>
          <w:sz w:val="32"/>
          <w:szCs w:val="32"/>
          <w:lang w:val="en-US" w:eastAsia="zh-CN"/>
        </w:rPr>
        <w:t>440.00</w:t>
      </w:r>
      <w:r>
        <w:rPr>
          <w:rFonts w:hint="eastAsia" w:ascii="仿宋_GB2312" w:hAnsi="仿宋_GB2312" w:eastAsia="仿宋_GB2312" w:cs="仿宋_GB2312"/>
          <w:sz w:val="32"/>
          <w:szCs w:val="32"/>
        </w:rPr>
        <w:t>万元，年终部门预算注销金额为0万元，结转金额为0万元，合计0万元，占比为0。</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综上，根据评分标准，该项指标不扣分，得2分。</w:t>
      </w:r>
    </w:p>
    <w:p>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）严控一般性支出</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严控</w:t>
      </w:r>
      <w:r>
        <w:rPr>
          <w:rFonts w:hint="eastAsia" w:ascii="仿宋_GB2312" w:hAnsi="仿宋_GB2312" w:eastAsia="仿宋_GB2312" w:cs="仿宋_GB2312"/>
          <w:sz w:val="32"/>
          <w:szCs w:val="32"/>
          <w:lang w:val="zh-CN"/>
        </w:rPr>
        <w:t>“三公”经费、会议费、培训费等一般性支出，</w:t>
      </w:r>
      <w:r>
        <w:rPr>
          <w:rFonts w:hint="eastAsia" w:ascii="仿宋_GB2312" w:hAnsi="仿宋_GB2312" w:eastAsia="仿宋_GB2312" w:cs="仿宋_GB2312"/>
          <w:sz w:val="32"/>
          <w:szCs w:val="32"/>
        </w:rPr>
        <w:t>2024年我单位“三公”经费支出8.7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万元，2023年为6.74万元，较上年增加2.02万元，主要是公务活动增加公务用车使用频次较多，运行维护费增加。其中：因公出国（境）费0.00万元，公务用车购置及运行维护费8.7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万元，公务接待费0.00万元。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综上，根据评分标准，该项指标不扣分，得5分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2"/>
        <w:rPr>
          <w:rFonts w:hint="eastAsia" w:ascii="Times New Roman" w:hAnsi="Times New Roman" w:eastAsia="仿宋_GB2312" w:cs="Times New Roman"/>
          <w:color w:val="auto"/>
          <w:sz w:val="32"/>
          <w:szCs w:val="32"/>
          <w:lang w:val="zh-CN" w:eastAsia="zh-CN" w:bidi="ar-SA"/>
        </w:rPr>
      </w:pPr>
      <w:r>
        <w:rPr>
          <w:rFonts w:hint="eastAsia" w:ascii="仿宋_GB2312" w:eastAsia="仿宋_GB2312" w:cs="仿宋_GB2312"/>
          <w:b/>
          <w:bCs/>
          <w:color w:val="000000"/>
          <w:sz w:val="32"/>
          <w:szCs w:val="32"/>
          <w:lang w:bidi="ar-SA"/>
        </w:rPr>
        <w:t xml:space="preserve">   </w:t>
      </w:r>
      <w:r>
        <w:rPr>
          <w:rFonts w:hint="eastAsia" w:ascii="黑体" w:hAnsi="黑体" w:eastAsia="黑体" w:cs="黑体"/>
          <w:b w:val="0"/>
          <w:bCs w:val="0"/>
          <w:color w:val="000000"/>
          <w:sz w:val="32"/>
          <w:szCs w:val="32"/>
          <w:lang w:bidi="ar-SA"/>
        </w:rPr>
        <w:t xml:space="preserve"> </w:t>
      </w:r>
      <w:r>
        <w:rPr>
          <w:rFonts w:hint="eastAsia" w:ascii="黑体" w:hAnsi="黑体" w:eastAsia="黑体" w:cs="黑体"/>
          <w:b w:val="0"/>
          <w:bCs w:val="0"/>
          <w:color w:val="auto"/>
          <w:sz w:val="32"/>
          <w:szCs w:val="32"/>
          <w:lang w:val="en-US" w:eastAsia="zh-CN" w:bidi="ar-SA"/>
        </w:rPr>
        <w:t>3.</w:t>
      </w:r>
      <w:r>
        <w:rPr>
          <w:rFonts w:hint="eastAsia" w:ascii="黑体" w:hAnsi="黑体" w:eastAsia="黑体" w:cs="黑体"/>
          <w:b w:val="0"/>
          <w:bCs w:val="0"/>
          <w:color w:val="auto"/>
          <w:sz w:val="32"/>
          <w:szCs w:val="32"/>
          <w:lang w:val="zh-CN" w:eastAsia="zh-CN" w:bidi="ar-SA"/>
        </w:rPr>
        <w:t>财务管理。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（1）财务管理制度</w:t>
      </w:r>
    </w:p>
    <w:p>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bidi="ar-SA"/>
        </w:rPr>
        <w:t>我单位在</w:t>
      </w:r>
      <w:r>
        <w:rPr>
          <w:rFonts w:hint="eastAsia" w:ascii="仿宋_GB2312" w:hAnsi="仿宋_GB2312" w:eastAsia="仿宋_GB2312" w:cs="仿宋_GB2312"/>
          <w:sz w:val="32"/>
          <w:szCs w:val="32"/>
        </w:rPr>
        <w:t>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3"/>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（2）财务岗位设置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本单位设置有两名兼职财务岗位（会计、出纳），明确岗位职责权限，严格实行不相容岗位分离，岗位间职责清晰，各岗位按照工作流程有序进行。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eastAsia="方正仿宋_GBK" w:cs="Times New Roman"/>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综上，根据评分标准，该项指标不扣分，得2分。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（3）资金使用规范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本单位资金严格按照相关办法进行使用，坚持量入为出、确保重点、厉行节约、注重实效、重大经济事项支出由中心会集体决策研究决定的原则，保证资金使用合法合规</w:t>
      </w:r>
      <w:r>
        <w:rPr>
          <w:rFonts w:hint="eastAsia" w:ascii="仿宋_GB2312" w:hAnsi="仿宋_GB2312" w:eastAsia="仿宋_GB2312" w:cs="仿宋_GB2312"/>
          <w:sz w:val="32"/>
          <w:szCs w:val="32"/>
          <w:lang w:val="en-US" w:eastAsia="zh-CN" w:bidi="ar-SA"/>
        </w:rPr>
        <w:t>杜绝超支现象的发生</w:t>
      </w:r>
      <w:r>
        <w:rPr>
          <w:rFonts w:hint="eastAsia" w:ascii="仿宋_GB2312" w:hAnsi="仿宋_GB2312" w:eastAsia="仿宋_GB2312" w:cs="仿宋_GB2312"/>
          <w:color w:val="auto"/>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9"/>
        <w:rPr>
          <w:rFonts w:hint="eastAsia" w:ascii="黑体" w:hAnsi="黑体" w:eastAsia="黑体" w:cs="黑体"/>
          <w:b/>
          <w:bCs/>
          <w:color w:val="auto"/>
          <w:sz w:val="32"/>
          <w:szCs w:val="32"/>
          <w:lang w:val="zh-CN" w:eastAsia="zh-CN" w:bidi="ar-SA"/>
        </w:rPr>
      </w:pPr>
      <w:r>
        <w:rPr>
          <w:rFonts w:hint="eastAsia" w:ascii="黑体" w:hAnsi="黑体" w:eastAsia="黑体" w:cs="黑体"/>
          <w:b/>
          <w:bCs/>
          <w:color w:val="auto"/>
          <w:sz w:val="32"/>
          <w:szCs w:val="32"/>
          <w:lang w:val="en-US" w:eastAsia="zh-CN" w:bidi="ar-SA"/>
        </w:rPr>
        <w:t>4.</w:t>
      </w:r>
      <w:r>
        <w:rPr>
          <w:rFonts w:hint="eastAsia" w:ascii="黑体" w:hAnsi="黑体" w:eastAsia="黑体" w:cs="黑体"/>
          <w:b/>
          <w:bCs/>
          <w:color w:val="auto"/>
          <w:sz w:val="32"/>
          <w:szCs w:val="32"/>
          <w:lang w:val="zh-CN" w:eastAsia="zh-CN" w:bidi="ar-SA"/>
        </w:rPr>
        <w:t>资产管理。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highlight w:val="none"/>
          <w:lang w:val="zh-CN" w:eastAsia="zh-CN" w:bidi="ar-SA"/>
        </w:rPr>
      </w:pPr>
      <w:r>
        <w:rPr>
          <w:rFonts w:hint="eastAsia" w:ascii="仿宋_GB2312" w:hAnsi="仿宋_GB2312" w:eastAsia="仿宋_GB2312" w:cs="仿宋_GB2312"/>
          <w:color w:val="auto"/>
          <w:sz w:val="32"/>
          <w:szCs w:val="32"/>
          <w:highlight w:val="none"/>
          <w:lang w:val="zh-CN" w:eastAsia="zh-CN" w:bidi="ar-SA"/>
        </w:rPr>
        <w:t>（</w:t>
      </w:r>
      <w:r>
        <w:rPr>
          <w:rFonts w:hint="eastAsia" w:ascii="仿宋_GB2312" w:hAnsi="仿宋_GB2312" w:eastAsia="仿宋_GB2312" w:cs="仿宋_GB2312"/>
          <w:color w:val="auto"/>
          <w:sz w:val="32"/>
          <w:szCs w:val="32"/>
          <w:highlight w:val="none"/>
          <w:lang w:val="en-US" w:eastAsia="zh-CN" w:bidi="ar-SA"/>
        </w:rPr>
        <w:t>1</w:t>
      </w:r>
      <w:r>
        <w:rPr>
          <w:rFonts w:hint="eastAsia" w:ascii="仿宋_GB2312" w:hAnsi="仿宋_GB2312" w:eastAsia="仿宋_GB2312" w:cs="仿宋_GB2312"/>
          <w:color w:val="auto"/>
          <w:sz w:val="32"/>
          <w:szCs w:val="32"/>
          <w:highlight w:val="none"/>
          <w:lang w:val="zh-CN" w:eastAsia="zh-CN" w:bidi="ar-SA"/>
        </w:rPr>
        <w:t>）人均资产变化率</w:t>
      </w:r>
    </w:p>
    <w:p>
      <w:pPr>
        <w:pStyle w:val="37"/>
        <w:keepNext w:val="0"/>
        <w:keepLines w:val="0"/>
        <w:pageBreakBefore w:val="0"/>
        <w:widowControl w:val="0"/>
        <w:kinsoku/>
        <w:wordWrap/>
        <w:overflowPunct/>
        <w:topLinePunct w:val="0"/>
        <w:autoSpaceDE/>
        <w:autoSpaceDN/>
        <w:bidi w:val="0"/>
        <w:adjustRightInd/>
        <w:snapToGrid/>
        <w:spacing w:line="360" w:lineRule="auto"/>
        <w:ind w:firstLine="640" w:firstLineChars="20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bidi="ar-SA"/>
        </w:rPr>
        <w:t>根据决算报表和国有资产年报表，</w:t>
      </w:r>
      <w:r>
        <w:rPr>
          <w:rFonts w:hint="eastAsia" w:ascii="仿宋_GB2312" w:hAnsi="仿宋_GB2312" w:eastAsia="仿宋_GB2312" w:cs="仿宋_GB2312"/>
          <w:color w:val="auto"/>
          <w:sz w:val="32"/>
          <w:szCs w:val="32"/>
          <w:highlight w:val="none"/>
          <w:lang w:val="en-US" w:eastAsia="zh-CN"/>
        </w:rPr>
        <w:t>本单位2024年末实有人数为8人，固定资产和无形资产净值合计</w:t>
      </w:r>
      <w:r>
        <w:rPr>
          <w:rFonts w:hint="eastAsia" w:ascii="仿宋_GB2312" w:hAnsi="仿宋_GB2312" w:eastAsia="仿宋_GB2312" w:cs="仿宋_GB2312"/>
          <w:sz w:val="32"/>
          <w:szCs w:val="32"/>
        </w:rPr>
        <w:t>88.06</w:t>
      </w:r>
      <w:r>
        <w:rPr>
          <w:rFonts w:hint="eastAsia" w:ascii="仿宋_GB2312" w:hAnsi="仿宋_GB2312" w:eastAsia="仿宋_GB2312" w:cs="仿宋_GB2312"/>
          <w:color w:val="auto"/>
          <w:sz w:val="32"/>
          <w:szCs w:val="32"/>
          <w:highlight w:val="none"/>
          <w:lang w:val="en-US" w:eastAsia="zh-CN"/>
        </w:rPr>
        <w:t>万元；根据2024年度决算报表和2024年度国有资产年报表，2024年末实有人数为8人，固定资产和无形资产净值合计</w:t>
      </w:r>
      <w:r>
        <w:rPr>
          <w:rFonts w:hint="eastAsia" w:ascii="仿宋_GB2312" w:hAnsi="仿宋_GB2312" w:eastAsia="仿宋_GB2312" w:cs="仿宋_GB2312"/>
          <w:sz w:val="32"/>
          <w:szCs w:val="32"/>
        </w:rPr>
        <w:t>88.06</w:t>
      </w:r>
      <w:r>
        <w:rPr>
          <w:rFonts w:hint="eastAsia" w:ascii="仿宋_GB2312" w:hAnsi="仿宋_GB2312" w:eastAsia="仿宋_GB2312" w:cs="仿宋_GB2312"/>
          <w:color w:val="auto"/>
          <w:sz w:val="32"/>
          <w:szCs w:val="32"/>
          <w:highlight w:val="none"/>
          <w:lang w:val="en-US" w:eastAsia="zh-CN"/>
        </w:rPr>
        <w:t>万元。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2024年州直行政事业单位人均资产变化率为0；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en-US" w:eastAsia="zh-CN"/>
        </w:rPr>
        <w:t>综上，根据评分标准，该项指标扣3分，得3分。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zh-CN" w:eastAsia="zh-CN" w:bidi="ar-SA"/>
        </w:rPr>
      </w:pPr>
      <w:r>
        <w:rPr>
          <w:rFonts w:hint="eastAsia" w:ascii="仿宋_GB2312" w:hAnsi="仿宋_GB2312" w:eastAsia="仿宋_GB2312" w:cs="仿宋_GB2312"/>
          <w:color w:val="auto"/>
          <w:sz w:val="32"/>
          <w:szCs w:val="32"/>
          <w:lang w:val="zh-CN" w:eastAsia="zh-CN" w:bidi="ar-SA"/>
        </w:rPr>
        <w:t>（</w:t>
      </w:r>
      <w:r>
        <w:rPr>
          <w:rFonts w:hint="eastAsia" w:ascii="仿宋_GB2312" w:hAnsi="仿宋_GB2312" w:eastAsia="仿宋_GB2312" w:cs="仿宋_GB2312"/>
          <w:color w:val="auto"/>
          <w:sz w:val="32"/>
          <w:szCs w:val="32"/>
          <w:lang w:val="en-US" w:eastAsia="zh-CN" w:bidi="ar-SA"/>
        </w:rPr>
        <w:t>2</w:t>
      </w:r>
      <w:r>
        <w:rPr>
          <w:rFonts w:hint="eastAsia" w:ascii="仿宋_GB2312" w:hAnsi="仿宋_GB2312" w:eastAsia="仿宋_GB2312" w:cs="仿宋_GB2312"/>
          <w:color w:val="auto"/>
          <w:sz w:val="32"/>
          <w:szCs w:val="32"/>
          <w:lang w:val="zh-CN" w:eastAsia="zh-CN" w:bidi="ar-SA"/>
        </w:rPr>
        <w:t>）资产利用率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根据资产存量明细查询表，本单位办公家具均未超最低使用年限。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根据资产存量明细查询表，本单位2024年超最低使用年限办公设备均已全额折旧，账面价值为0万元。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综上，根据评分标准，该项指标不扣分，得3分。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zh-CN" w:eastAsia="zh-CN"/>
        </w:rPr>
        <w:t>）资产盘活率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根据资产存量明细查询表和国有资产报表，本单位2024年无闲置资产，2024年总资产账面价值</w:t>
      </w:r>
      <w:r>
        <w:rPr>
          <w:rFonts w:hint="eastAsia" w:ascii="仿宋_GB2312" w:hAnsi="仿宋_GB2312" w:eastAsia="仿宋_GB2312" w:cs="仿宋_GB2312"/>
          <w:sz w:val="32"/>
          <w:szCs w:val="32"/>
        </w:rPr>
        <w:t>88.06</w:t>
      </w:r>
      <w:r>
        <w:rPr>
          <w:rFonts w:hint="eastAsia" w:ascii="仿宋_GB2312" w:hAnsi="仿宋_GB2312" w:eastAsia="仿宋_GB2312" w:cs="仿宋_GB2312"/>
          <w:color w:val="auto"/>
          <w:sz w:val="32"/>
          <w:szCs w:val="32"/>
          <w:lang w:val="en-US" w:eastAsia="zh-CN"/>
        </w:rPr>
        <w:t>万元。上一年度无闲置资产，上一年度总资产账面价值</w:t>
      </w:r>
      <w:r>
        <w:rPr>
          <w:rFonts w:hint="eastAsia" w:ascii="仿宋_GB2312" w:hAnsi="仿宋_GB2312" w:eastAsia="仿宋_GB2312" w:cs="仿宋_GB2312"/>
          <w:sz w:val="32"/>
          <w:szCs w:val="32"/>
        </w:rPr>
        <w:t>87.78</w:t>
      </w:r>
      <w:r>
        <w:rPr>
          <w:rFonts w:hint="eastAsia" w:ascii="仿宋_GB2312" w:hAnsi="仿宋_GB2312" w:eastAsia="仿宋_GB2312" w:cs="仿宋_GB2312"/>
          <w:color w:val="auto"/>
          <w:sz w:val="32"/>
          <w:szCs w:val="32"/>
          <w:lang w:val="en-US" w:eastAsia="zh-CN"/>
        </w:rPr>
        <w:t>万元。两年均无闲置资产。</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综上，根据评分标准，该项指标不扣分，得3分。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黑体" w:hAnsi="黑体" w:eastAsia="黑体" w:cs="黑体"/>
          <w:b/>
          <w:bCs/>
          <w:color w:val="000000"/>
          <w:sz w:val="32"/>
          <w:szCs w:val="32"/>
          <w:lang w:val="zh-CN" w:eastAsia="zh-CN" w:bidi="ar-SA"/>
        </w:rPr>
      </w:pPr>
      <w:r>
        <w:rPr>
          <w:rFonts w:hint="eastAsia" w:ascii="黑体" w:hAnsi="黑体" w:eastAsia="黑体" w:cs="黑体"/>
          <w:b/>
          <w:bCs/>
          <w:color w:val="000000"/>
          <w:sz w:val="32"/>
          <w:szCs w:val="32"/>
          <w:lang w:val="en-US" w:eastAsia="zh-CN" w:bidi="ar-SA"/>
        </w:rPr>
        <w:t>5.</w:t>
      </w:r>
      <w:r>
        <w:rPr>
          <w:rFonts w:hint="eastAsia" w:ascii="黑体" w:hAnsi="黑体" w:eastAsia="黑体" w:cs="黑体"/>
          <w:b/>
          <w:bCs/>
          <w:color w:val="000000"/>
          <w:sz w:val="32"/>
          <w:szCs w:val="32"/>
          <w:lang w:val="zh-CN" w:eastAsia="zh-CN" w:bidi="ar-SA"/>
        </w:rPr>
        <w:t>采购管理。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000000"/>
          <w:sz w:val="32"/>
          <w:szCs w:val="32"/>
          <w:lang w:val="zh-CN" w:eastAsia="zh-CN" w:bidi="ar-SA"/>
        </w:rPr>
      </w:pPr>
      <w:r>
        <w:rPr>
          <w:rFonts w:hint="eastAsia" w:ascii="仿宋_GB2312" w:hAnsi="仿宋_GB2312" w:eastAsia="仿宋_GB2312" w:cs="仿宋_GB2312"/>
          <w:color w:val="000000"/>
          <w:sz w:val="32"/>
          <w:szCs w:val="32"/>
          <w:lang w:val="zh-CN" w:eastAsia="zh-CN" w:bidi="ar-SA"/>
        </w:rPr>
        <w:t>（</w:t>
      </w:r>
      <w:r>
        <w:rPr>
          <w:rFonts w:hint="eastAsia" w:ascii="仿宋_GB2312" w:hAnsi="仿宋_GB2312" w:eastAsia="仿宋_GB2312" w:cs="仿宋_GB2312"/>
          <w:color w:val="000000"/>
          <w:sz w:val="32"/>
          <w:szCs w:val="32"/>
          <w:lang w:val="en-US" w:eastAsia="zh-CN" w:bidi="ar-SA"/>
        </w:rPr>
        <w:t>1</w:t>
      </w:r>
      <w:r>
        <w:rPr>
          <w:rFonts w:hint="eastAsia" w:ascii="仿宋_GB2312" w:hAnsi="仿宋_GB2312" w:eastAsia="仿宋_GB2312" w:cs="仿宋_GB2312"/>
          <w:color w:val="000000"/>
          <w:sz w:val="32"/>
          <w:szCs w:val="32"/>
          <w:lang w:val="zh-CN" w:eastAsia="zh-CN" w:bidi="ar-SA"/>
        </w:rPr>
        <w:t>）支持中小企业发展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000000"/>
          <w:sz w:val="32"/>
          <w:szCs w:val="32"/>
          <w:lang w:val="en-US" w:eastAsia="zh-CN" w:bidi="ar-SA"/>
        </w:rPr>
      </w:pPr>
      <w:r>
        <w:rPr>
          <w:rFonts w:hint="eastAsia" w:ascii="仿宋_GB2312" w:hAnsi="仿宋_GB2312" w:eastAsia="仿宋_GB2312" w:cs="仿宋_GB2312"/>
          <w:color w:val="000000"/>
          <w:sz w:val="32"/>
          <w:szCs w:val="32"/>
          <w:lang w:val="en-US" w:eastAsia="zh-CN" w:bidi="ar-SA"/>
        </w:rPr>
        <w:t>本单位严格执行政府采购促进中小企业发展相关管理办法，采用部门集中采购的形式进行采购，已预留采购份额专门面向中小企业采购，并在采购预算中单独列示，采购物资均为必需、急需，采购程序合理、合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000000"/>
          <w:sz w:val="32"/>
          <w:szCs w:val="32"/>
          <w:lang w:val="zh-CN" w:eastAsia="zh-CN" w:bidi="ar-SA"/>
        </w:rPr>
      </w:pPr>
      <w:r>
        <w:rPr>
          <w:rFonts w:hint="eastAsia" w:ascii="仿宋_GB2312" w:hAnsi="仿宋_GB2312" w:eastAsia="仿宋_GB2312" w:cs="仿宋_GB2312"/>
          <w:color w:val="000000"/>
          <w:sz w:val="32"/>
          <w:szCs w:val="32"/>
          <w:lang w:val="en-US" w:eastAsia="zh-CN" w:bidi="ar-SA"/>
        </w:rPr>
        <w:t>综上，根据评分标准，该项指标不扣分，得3分。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000000"/>
          <w:sz w:val="32"/>
          <w:szCs w:val="32"/>
          <w:lang w:val="en-US" w:eastAsia="zh-CN" w:bidi="ar-SA"/>
        </w:rPr>
      </w:pPr>
      <w:r>
        <w:rPr>
          <w:rFonts w:hint="eastAsia" w:ascii="仿宋_GB2312" w:hAnsi="仿宋_GB2312" w:eastAsia="仿宋_GB2312" w:cs="仿宋_GB2312"/>
          <w:color w:val="000000"/>
          <w:sz w:val="32"/>
          <w:szCs w:val="32"/>
          <w:lang w:val="zh-CN" w:eastAsia="zh-CN" w:bidi="ar-SA"/>
        </w:rPr>
        <w:t>（</w:t>
      </w:r>
      <w:r>
        <w:rPr>
          <w:rFonts w:hint="eastAsia" w:ascii="仿宋_GB2312" w:hAnsi="仿宋_GB2312" w:eastAsia="仿宋_GB2312" w:cs="仿宋_GB2312"/>
          <w:color w:val="000000"/>
          <w:sz w:val="32"/>
          <w:szCs w:val="32"/>
          <w:lang w:val="en-US" w:eastAsia="zh-CN" w:bidi="ar-SA"/>
        </w:rPr>
        <w:t>2</w:t>
      </w:r>
      <w:r>
        <w:rPr>
          <w:rFonts w:hint="eastAsia" w:ascii="仿宋_GB2312" w:hAnsi="仿宋_GB2312" w:eastAsia="仿宋_GB2312" w:cs="仿宋_GB2312"/>
          <w:color w:val="000000"/>
          <w:sz w:val="32"/>
          <w:szCs w:val="32"/>
          <w:lang w:val="zh-CN" w:eastAsia="zh-CN" w:bidi="ar-SA"/>
        </w:rPr>
        <w:t>）采购执行率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000000"/>
          <w:sz w:val="32"/>
          <w:szCs w:val="32"/>
          <w:lang w:val="en-US" w:eastAsia="zh-CN" w:bidi="ar-SA"/>
        </w:rPr>
      </w:pPr>
      <w:r>
        <w:rPr>
          <w:rFonts w:hint="eastAsia" w:ascii="仿宋_GB2312" w:hAnsi="仿宋_GB2312" w:eastAsia="仿宋_GB2312" w:cs="仿宋_GB2312"/>
          <w:color w:val="000000"/>
          <w:sz w:val="32"/>
          <w:szCs w:val="32"/>
          <w:lang w:val="en-US" w:eastAsia="zh-CN" w:bidi="ar-SA"/>
        </w:rPr>
        <w:t>本单位2024年政府采购项目，根据政府采购情况表和决算报表，本单位2024年政府采购实际支付金额为0.00万元，2024年政府采购预算为0.00万元。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ascii="Times New Roman" w:hAnsi="Times New Roman" w:eastAsia="仿宋_GB2312" w:cs="Times New Roman"/>
          <w:color w:val="auto"/>
          <w:sz w:val="32"/>
          <w:szCs w:val="32"/>
          <w:lang w:val="en-US" w:eastAsia="zh-CN" w:bidi="ar-SA"/>
        </w:rPr>
      </w:pPr>
      <w:r>
        <w:rPr>
          <w:rFonts w:hint="eastAsia" w:ascii="仿宋_GB2312" w:hAnsi="仿宋_GB2312" w:eastAsia="仿宋_GB2312" w:cs="仿宋_GB2312"/>
          <w:color w:val="000000"/>
          <w:sz w:val="32"/>
          <w:szCs w:val="32"/>
          <w:lang w:val="en-US" w:eastAsia="zh-CN" w:bidi="ar-SA"/>
        </w:rPr>
        <w:t>综上，根据评分标准，该项指标不扣分，得3分</w:t>
      </w:r>
      <w:r>
        <w:rPr>
          <w:rFonts w:hint="eastAsia" w:ascii="Times New Roman" w:hAnsi="Times New Roman" w:eastAsia="仿宋_GB2312" w:cs="Times New Roman"/>
          <w:color w:val="000000"/>
          <w:sz w:val="32"/>
          <w:szCs w:val="32"/>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ascii="Times New Roman" w:hAnsi="Times New Roman" w:eastAsia="楷体_GB2312" w:cs="Times New Roman"/>
          <w:b/>
          <w:bCs/>
          <w:color w:val="000000"/>
          <w:kern w:val="0"/>
          <w:sz w:val="32"/>
          <w:szCs w:val="32"/>
          <w:highlight w:val="none"/>
          <w:shd w:val="clear" w:color="auto" w:fill="FFFFFF"/>
          <w:lang w:val="zh-CN" w:eastAsia="zh-CN" w:bidi="ar-SA"/>
        </w:rPr>
        <w:t>二</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）部门预算项目绩效分析。</w:t>
      </w:r>
    </w:p>
    <w:p>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bidi="ar-SA"/>
        </w:rPr>
      </w:pPr>
      <w:r>
        <w:rPr>
          <w:rFonts w:hint="eastAsia" w:ascii="仿宋_GB2312" w:hAnsi="仿宋_GB2312" w:eastAsia="仿宋_GB2312" w:cs="仿宋_GB2312"/>
          <w:color w:val="000000"/>
          <w:kern w:val="0"/>
          <w:sz w:val="32"/>
          <w:szCs w:val="32"/>
          <w:highlight w:val="none"/>
          <w:shd w:val="clear" w:color="auto" w:fill="FFFFFF"/>
          <w:lang w:val="en-US" w:eastAsia="zh-CN" w:bidi="ar-SA"/>
        </w:rPr>
        <w:t>常年项目绩效分析。</w:t>
      </w:r>
      <w:r>
        <w:rPr>
          <w:rFonts w:hint="eastAsia" w:ascii="仿宋_GB2312" w:hAnsi="仿宋_GB2312" w:eastAsia="仿宋_GB2312" w:cs="仿宋_GB2312"/>
          <w:color w:val="000000"/>
          <w:kern w:val="0"/>
          <w:sz w:val="32"/>
          <w:szCs w:val="32"/>
          <w:highlight w:val="none"/>
          <w:shd w:val="clear" w:color="auto" w:fill="FFFFFF"/>
          <w:lang w:val="zh-CN" w:eastAsia="zh-CN" w:bidi="ar-SA"/>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bidi="ar-SA"/>
        </w:rPr>
        <w:t>6</w:t>
      </w:r>
      <w:r>
        <w:rPr>
          <w:rFonts w:hint="eastAsia" w:ascii="仿宋_GB2312" w:hAnsi="仿宋_GB2312" w:eastAsia="仿宋_GB2312" w:cs="仿宋_GB2312"/>
          <w:color w:val="000000"/>
          <w:kern w:val="0"/>
          <w:sz w:val="32"/>
          <w:szCs w:val="32"/>
          <w:highlight w:val="none"/>
          <w:shd w:val="clear" w:color="auto" w:fill="FFFFFF"/>
          <w:lang w:val="zh-CN" w:eastAsia="zh-CN" w:bidi="ar-SA"/>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bidi="ar-SA"/>
        </w:rPr>
        <w:t>33.89</w:t>
      </w:r>
      <w:r>
        <w:rPr>
          <w:rFonts w:hint="eastAsia" w:ascii="仿宋_GB2312" w:hAnsi="仿宋_GB2312" w:eastAsia="仿宋_GB2312" w:cs="仿宋_GB2312"/>
          <w:color w:val="000000"/>
          <w:kern w:val="0"/>
          <w:sz w:val="32"/>
          <w:szCs w:val="32"/>
          <w:highlight w:val="none"/>
          <w:shd w:val="clear" w:color="auto" w:fill="FFFFFF"/>
          <w:lang w:val="zh-CN" w:eastAsia="zh-CN" w:bidi="ar-SA"/>
        </w:rPr>
        <w:t>万元，1—1</w:t>
      </w:r>
      <w:r>
        <w:rPr>
          <w:rFonts w:hint="eastAsia" w:ascii="仿宋_GB2312" w:hAnsi="仿宋_GB2312" w:eastAsia="仿宋_GB2312" w:cs="仿宋_GB2312"/>
          <w:color w:val="000000"/>
          <w:kern w:val="0"/>
          <w:sz w:val="32"/>
          <w:szCs w:val="32"/>
          <w:highlight w:val="none"/>
          <w:shd w:val="clear" w:color="auto" w:fill="FFFFFF"/>
          <w:lang w:val="en-US" w:eastAsia="zh-CN" w:bidi="ar-SA"/>
        </w:rPr>
        <w:t>2</w:t>
      </w:r>
      <w:r>
        <w:rPr>
          <w:rFonts w:hint="eastAsia" w:ascii="仿宋_GB2312" w:hAnsi="仿宋_GB2312" w:eastAsia="仿宋_GB2312" w:cs="仿宋_GB2312"/>
          <w:color w:val="000000"/>
          <w:kern w:val="0"/>
          <w:sz w:val="32"/>
          <w:szCs w:val="32"/>
          <w:highlight w:val="none"/>
          <w:shd w:val="clear" w:color="auto" w:fill="FFFFFF"/>
          <w:lang w:val="zh-CN" w:eastAsia="zh-CN" w:bidi="ar-SA"/>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bidi="ar-SA"/>
        </w:rPr>
        <w:t>99.2</w:t>
      </w:r>
      <w:r>
        <w:rPr>
          <w:rFonts w:hint="eastAsia" w:ascii="仿宋_GB2312" w:hAnsi="仿宋_GB2312" w:eastAsia="仿宋_GB2312" w:cs="仿宋_GB2312"/>
          <w:color w:val="000000"/>
          <w:kern w:val="0"/>
          <w:sz w:val="32"/>
          <w:szCs w:val="32"/>
          <w:highlight w:val="none"/>
          <w:shd w:val="clear" w:color="auto" w:fill="FFFFFF"/>
          <w:lang w:val="zh-CN" w:eastAsia="zh-CN" w:bidi="ar-SA"/>
        </w:rPr>
        <w:t>%，其中：预算结余率大于</w:t>
      </w:r>
      <w:r>
        <w:rPr>
          <w:rFonts w:hint="eastAsia" w:ascii="仿宋_GB2312" w:hAnsi="仿宋_GB2312" w:eastAsia="仿宋_GB2312" w:cs="仿宋_GB2312"/>
          <w:color w:val="000000"/>
          <w:kern w:val="0"/>
          <w:sz w:val="32"/>
          <w:szCs w:val="32"/>
          <w:highlight w:val="none"/>
          <w:shd w:val="clear" w:color="auto" w:fill="FFFFFF"/>
          <w:lang w:val="en-US" w:eastAsia="zh-CN" w:bidi="ar-SA"/>
        </w:rPr>
        <w:t>10%</w:t>
      </w:r>
      <w:r>
        <w:rPr>
          <w:rFonts w:hint="eastAsia" w:ascii="仿宋_GB2312" w:hAnsi="仿宋_GB2312" w:eastAsia="仿宋_GB2312" w:cs="仿宋_GB2312"/>
          <w:color w:val="000000"/>
          <w:kern w:val="0"/>
          <w:sz w:val="32"/>
          <w:szCs w:val="32"/>
          <w:highlight w:val="none"/>
          <w:shd w:val="clear" w:color="auto" w:fill="FFFFFF"/>
          <w:lang w:val="zh-CN" w:eastAsia="zh-CN" w:bidi="ar-SA"/>
        </w:rPr>
        <w:t>的项目共计</w:t>
      </w:r>
      <w:r>
        <w:rPr>
          <w:rFonts w:hint="eastAsia" w:ascii="仿宋_GB2312" w:hAnsi="仿宋_GB2312" w:eastAsia="仿宋_GB2312" w:cs="仿宋_GB2312"/>
          <w:color w:val="000000"/>
          <w:kern w:val="0"/>
          <w:sz w:val="32"/>
          <w:szCs w:val="32"/>
          <w:highlight w:val="none"/>
          <w:shd w:val="clear" w:color="auto" w:fill="FFFFFF"/>
          <w:lang w:val="en-US" w:eastAsia="zh-CN" w:bidi="ar-SA"/>
        </w:rPr>
        <w:t>0</w:t>
      </w:r>
      <w:r>
        <w:rPr>
          <w:rFonts w:hint="eastAsia" w:ascii="仿宋_GB2312" w:hAnsi="仿宋_GB2312" w:eastAsia="仿宋_GB2312" w:cs="仿宋_GB2312"/>
          <w:color w:val="000000"/>
          <w:kern w:val="0"/>
          <w:sz w:val="32"/>
          <w:szCs w:val="32"/>
          <w:highlight w:val="none"/>
          <w:shd w:val="clear" w:color="auto" w:fill="FFFFFF"/>
          <w:lang w:val="zh-CN" w:eastAsia="zh-CN" w:bidi="ar-SA"/>
        </w:rPr>
        <w:t>个。</w:t>
      </w:r>
    </w:p>
    <w:p>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bidi="ar-SA"/>
        </w:rPr>
      </w:pPr>
      <w:r>
        <w:rPr>
          <w:rFonts w:hint="eastAsia" w:ascii="仿宋_GB2312" w:hAnsi="仿宋_GB2312" w:eastAsia="仿宋_GB2312" w:cs="仿宋_GB2312"/>
          <w:color w:val="000000"/>
          <w:kern w:val="0"/>
          <w:sz w:val="32"/>
          <w:szCs w:val="32"/>
          <w:highlight w:val="none"/>
          <w:shd w:val="clear" w:color="auto" w:fill="FFFFFF"/>
          <w:lang w:val="en-US" w:eastAsia="zh-CN" w:bidi="ar-SA"/>
        </w:rPr>
        <w:t>阶段（一次性）项目绩效分析。</w:t>
      </w:r>
      <w:r>
        <w:rPr>
          <w:rFonts w:hint="eastAsia" w:ascii="仿宋_GB2312" w:hAnsi="仿宋_GB2312" w:eastAsia="仿宋_GB2312" w:cs="仿宋_GB2312"/>
          <w:color w:val="000000"/>
          <w:kern w:val="0"/>
          <w:sz w:val="32"/>
          <w:szCs w:val="32"/>
          <w:highlight w:val="none"/>
          <w:shd w:val="clear" w:color="auto" w:fill="FFFFFF"/>
          <w:lang w:val="zh-CN" w:eastAsia="zh-CN" w:bidi="ar-SA"/>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bidi="ar-SA"/>
        </w:rPr>
        <w:t>2</w:t>
      </w:r>
      <w:r>
        <w:rPr>
          <w:rFonts w:hint="eastAsia" w:ascii="仿宋_GB2312" w:hAnsi="仿宋_GB2312" w:eastAsia="仿宋_GB2312" w:cs="仿宋_GB2312"/>
          <w:color w:val="000000"/>
          <w:kern w:val="0"/>
          <w:sz w:val="32"/>
          <w:szCs w:val="32"/>
          <w:highlight w:val="none"/>
          <w:shd w:val="clear" w:color="auto" w:fill="FFFFFF"/>
          <w:lang w:val="zh-CN" w:eastAsia="zh-CN" w:bidi="ar-SA"/>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bidi="ar-SA"/>
        </w:rPr>
        <w:t>129</w:t>
      </w:r>
      <w:r>
        <w:rPr>
          <w:rFonts w:hint="eastAsia" w:ascii="仿宋_GB2312" w:hAnsi="仿宋_GB2312" w:eastAsia="仿宋_GB2312" w:cs="仿宋_GB2312"/>
          <w:color w:val="000000"/>
          <w:kern w:val="0"/>
          <w:sz w:val="32"/>
          <w:szCs w:val="32"/>
          <w:highlight w:val="none"/>
          <w:shd w:val="clear" w:color="auto" w:fill="FFFFFF"/>
          <w:lang w:val="zh-CN" w:eastAsia="zh-CN" w:bidi="ar-SA"/>
        </w:rPr>
        <w:t>万元，1—1</w:t>
      </w:r>
      <w:r>
        <w:rPr>
          <w:rFonts w:hint="eastAsia" w:ascii="仿宋_GB2312" w:hAnsi="仿宋_GB2312" w:eastAsia="仿宋_GB2312" w:cs="仿宋_GB2312"/>
          <w:color w:val="000000"/>
          <w:kern w:val="0"/>
          <w:sz w:val="32"/>
          <w:szCs w:val="32"/>
          <w:highlight w:val="none"/>
          <w:shd w:val="clear" w:color="auto" w:fill="FFFFFF"/>
          <w:lang w:val="en-US" w:eastAsia="zh-CN" w:bidi="ar-SA"/>
        </w:rPr>
        <w:t>2</w:t>
      </w:r>
      <w:r>
        <w:rPr>
          <w:rFonts w:hint="eastAsia" w:ascii="仿宋_GB2312" w:hAnsi="仿宋_GB2312" w:eastAsia="仿宋_GB2312" w:cs="仿宋_GB2312"/>
          <w:color w:val="000000"/>
          <w:kern w:val="0"/>
          <w:sz w:val="32"/>
          <w:szCs w:val="32"/>
          <w:highlight w:val="none"/>
          <w:shd w:val="clear" w:color="auto" w:fill="FFFFFF"/>
          <w:lang w:val="zh-CN" w:eastAsia="zh-CN" w:bidi="ar-SA"/>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bidi="ar-SA"/>
        </w:rPr>
        <w:t>99.6</w:t>
      </w:r>
      <w:r>
        <w:rPr>
          <w:rFonts w:hint="eastAsia" w:ascii="仿宋_GB2312" w:hAnsi="仿宋_GB2312" w:eastAsia="仿宋_GB2312" w:cs="仿宋_GB2312"/>
          <w:color w:val="000000"/>
          <w:kern w:val="0"/>
          <w:sz w:val="32"/>
          <w:szCs w:val="32"/>
          <w:highlight w:val="none"/>
          <w:shd w:val="clear" w:color="auto" w:fill="FFFFFF"/>
          <w:lang w:val="zh-CN" w:eastAsia="zh-CN" w:bidi="ar-SA"/>
        </w:rPr>
        <w:t>%，其中：预算结余率大于</w:t>
      </w:r>
      <w:r>
        <w:rPr>
          <w:rFonts w:hint="eastAsia" w:ascii="仿宋_GB2312" w:hAnsi="仿宋_GB2312" w:eastAsia="仿宋_GB2312" w:cs="仿宋_GB2312"/>
          <w:color w:val="000000"/>
          <w:kern w:val="0"/>
          <w:sz w:val="32"/>
          <w:szCs w:val="32"/>
          <w:highlight w:val="none"/>
          <w:shd w:val="clear" w:color="auto" w:fill="FFFFFF"/>
          <w:lang w:val="en-US" w:eastAsia="zh-CN" w:bidi="ar-SA"/>
        </w:rPr>
        <w:t>10%</w:t>
      </w:r>
      <w:r>
        <w:rPr>
          <w:rFonts w:hint="eastAsia" w:ascii="仿宋_GB2312" w:hAnsi="仿宋_GB2312" w:eastAsia="仿宋_GB2312" w:cs="仿宋_GB2312"/>
          <w:color w:val="000000"/>
          <w:kern w:val="0"/>
          <w:sz w:val="32"/>
          <w:szCs w:val="32"/>
          <w:highlight w:val="none"/>
          <w:shd w:val="clear" w:color="auto" w:fill="FFFFFF"/>
          <w:lang w:val="zh-CN" w:eastAsia="zh-CN" w:bidi="ar-SA"/>
        </w:rPr>
        <w:t>的项目共计</w:t>
      </w:r>
      <w:r>
        <w:rPr>
          <w:rFonts w:hint="eastAsia" w:ascii="仿宋_GB2312" w:hAnsi="仿宋_GB2312" w:eastAsia="仿宋_GB2312" w:cs="仿宋_GB2312"/>
          <w:color w:val="000000"/>
          <w:kern w:val="0"/>
          <w:sz w:val="32"/>
          <w:szCs w:val="32"/>
          <w:highlight w:val="none"/>
          <w:shd w:val="clear" w:color="auto" w:fill="FFFFFF"/>
          <w:lang w:val="en-US" w:eastAsia="zh-CN" w:bidi="ar-SA"/>
        </w:rPr>
        <w:t>0</w:t>
      </w:r>
      <w:r>
        <w:rPr>
          <w:rFonts w:hint="eastAsia" w:ascii="仿宋_GB2312" w:hAnsi="仿宋_GB2312" w:eastAsia="仿宋_GB2312" w:cs="仿宋_GB2312"/>
          <w:color w:val="000000"/>
          <w:kern w:val="0"/>
          <w:sz w:val="32"/>
          <w:szCs w:val="32"/>
          <w:highlight w:val="none"/>
          <w:shd w:val="clear" w:color="auto" w:fill="FFFFFF"/>
          <w:lang w:val="zh-CN" w:eastAsia="zh-CN" w:bidi="ar-SA"/>
        </w:rPr>
        <w:t>个。</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Times New Roman"/>
          <w:color w:val="auto"/>
          <w:sz w:val="32"/>
          <w:szCs w:val="32"/>
          <w:lang w:val="zh-CN" w:eastAsia="zh-CN" w:bidi="ar-SA"/>
        </w:rPr>
      </w:pPr>
      <w:r>
        <w:rPr>
          <w:rFonts w:hint="eastAsia" w:ascii="黑体" w:hAnsi="黑体" w:eastAsia="黑体" w:cs="黑体"/>
          <w:b/>
          <w:bCs/>
          <w:color w:val="auto"/>
          <w:sz w:val="32"/>
          <w:szCs w:val="32"/>
          <w:lang w:val="en-US" w:eastAsia="zh-CN" w:bidi="ar-SA"/>
        </w:rPr>
        <w:t>1.</w:t>
      </w:r>
      <w:r>
        <w:rPr>
          <w:rFonts w:hint="eastAsia" w:ascii="黑体" w:hAnsi="黑体" w:eastAsia="黑体" w:cs="黑体"/>
          <w:b/>
          <w:bCs/>
          <w:color w:val="auto"/>
          <w:sz w:val="32"/>
          <w:szCs w:val="32"/>
          <w:lang w:val="zh-CN" w:eastAsia="zh-CN" w:bidi="ar-SA"/>
        </w:rPr>
        <w:t>项目决策。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方正楷体_GB2312" w:hAnsi="方正楷体_GB2312" w:eastAsia="方正楷体_GB2312" w:cs="方正楷体_GB2312"/>
          <w:color w:val="auto"/>
          <w:sz w:val="32"/>
          <w:szCs w:val="32"/>
          <w:lang w:val="zh-CN" w:eastAsia="zh-CN" w:bidi="ar-SA"/>
        </w:rPr>
      </w:pPr>
      <w:r>
        <w:rPr>
          <w:rFonts w:hint="eastAsia" w:ascii="方正楷体_GB2312" w:hAnsi="方正楷体_GB2312" w:eastAsia="方正楷体_GB2312" w:cs="方正楷体_GB2312"/>
          <w:color w:val="auto"/>
          <w:sz w:val="32"/>
          <w:szCs w:val="32"/>
          <w:lang w:val="zh-CN" w:eastAsia="zh-CN" w:bidi="ar-SA"/>
        </w:rPr>
        <w:t>（</w:t>
      </w:r>
      <w:r>
        <w:rPr>
          <w:rFonts w:hint="eastAsia" w:ascii="方正楷体_GB2312" w:hAnsi="方正楷体_GB2312" w:eastAsia="方正楷体_GB2312" w:cs="方正楷体_GB2312"/>
          <w:color w:val="auto"/>
          <w:sz w:val="32"/>
          <w:szCs w:val="32"/>
          <w:lang w:val="en-US" w:eastAsia="zh-CN" w:bidi="ar-SA"/>
        </w:rPr>
        <w:t>1</w:t>
      </w:r>
      <w:r>
        <w:rPr>
          <w:rFonts w:hint="eastAsia" w:ascii="方正楷体_GB2312" w:hAnsi="方正楷体_GB2312" w:eastAsia="方正楷体_GB2312" w:cs="方正楷体_GB2312"/>
          <w:color w:val="auto"/>
          <w:sz w:val="32"/>
          <w:szCs w:val="32"/>
          <w:lang w:val="zh-CN" w:eastAsia="zh-CN" w:bidi="ar-SA"/>
        </w:rPr>
        <w:t>）决策程序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根据可执行情况表，本单位预算阶段项目无未履行事前评估程序的部门预算阶段项目。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lang w:val="zh-CN" w:eastAsia="zh-CN"/>
        </w:rPr>
      </w:pPr>
      <w:r>
        <w:rPr>
          <w:rFonts w:hint="eastAsia" w:ascii="Times New Roman" w:hAnsi="Times New Roman" w:eastAsia="仿宋_GB2312" w:cs="Times New Roman"/>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方正楷体_GB2312" w:hAnsi="方正楷体_GB2312" w:eastAsia="方正楷体_GB2312" w:cs="方正楷体_GB2312"/>
          <w:color w:val="auto"/>
          <w:sz w:val="32"/>
          <w:szCs w:val="32"/>
          <w:lang w:val="zh-CN" w:eastAsia="zh-CN" w:bidi="ar-SA"/>
        </w:rPr>
      </w:pPr>
      <w:r>
        <w:rPr>
          <w:rFonts w:hint="eastAsia" w:ascii="方正楷体_GB2312" w:hAnsi="方正楷体_GB2312" w:eastAsia="方正楷体_GB2312" w:cs="方正楷体_GB2312"/>
          <w:color w:val="auto"/>
          <w:sz w:val="32"/>
          <w:szCs w:val="32"/>
          <w:lang w:val="zh-CN" w:eastAsia="zh-CN" w:bidi="ar-SA"/>
        </w:rPr>
        <w:t>（</w:t>
      </w:r>
      <w:r>
        <w:rPr>
          <w:rFonts w:hint="eastAsia" w:ascii="方正楷体_GB2312" w:hAnsi="方正楷体_GB2312" w:eastAsia="方正楷体_GB2312" w:cs="方正楷体_GB2312"/>
          <w:color w:val="auto"/>
          <w:sz w:val="32"/>
          <w:szCs w:val="32"/>
          <w:lang w:val="en-US" w:eastAsia="zh-CN" w:bidi="ar-SA"/>
        </w:rPr>
        <w:t>2</w:t>
      </w:r>
      <w:r>
        <w:rPr>
          <w:rFonts w:hint="eastAsia" w:ascii="方正楷体_GB2312" w:hAnsi="方正楷体_GB2312" w:eastAsia="方正楷体_GB2312" w:cs="方正楷体_GB2312"/>
          <w:color w:val="auto"/>
          <w:sz w:val="32"/>
          <w:szCs w:val="32"/>
          <w:lang w:val="zh-CN" w:eastAsia="zh-CN" w:bidi="ar-SA"/>
        </w:rPr>
        <w:t>）目标设置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en-US" w:eastAsia="zh-CN" w:bidi="ar-SA"/>
        </w:rPr>
        <w:t>本单位</w:t>
      </w:r>
      <w:r>
        <w:rPr>
          <w:rFonts w:hint="eastAsia" w:ascii="Times New Roman" w:hAnsi="Times New Roman" w:eastAsia="仿宋_GB2312" w:cs="Times New Roman"/>
          <w:color w:val="auto"/>
          <w:sz w:val="32"/>
          <w:szCs w:val="32"/>
          <w:lang w:val="zh-CN" w:eastAsia="zh-CN" w:bidi="ar-SA"/>
        </w:rPr>
        <w:t>预算阶段项目</w:t>
      </w:r>
      <w:r>
        <w:rPr>
          <w:rFonts w:hint="eastAsia" w:ascii="Times New Roman" w:hAnsi="Times New Roman" w:eastAsia="仿宋_GB2312" w:cs="Times New Roman"/>
          <w:color w:val="auto"/>
          <w:sz w:val="32"/>
          <w:szCs w:val="32"/>
          <w:lang w:val="en-US" w:eastAsia="zh-CN" w:bidi="ar-SA"/>
        </w:rPr>
        <w:t>无绩效目标与计划期内的任务量、预算安排不相匹配的部门预算阶段项目。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方正楷体_GB2312" w:hAnsi="方正楷体_GB2312" w:eastAsia="方正楷体_GB2312" w:cs="方正楷体_GB2312"/>
          <w:color w:val="auto"/>
          <w:sz w:val="32"/>
          <w:szCs w:val="32"/>
          <w:lang w:val="zh-CN" w:eastAsia="zh-CN" w:bidi="ar-SA"/>
        </w:rPr>
      </w:pPr>
      <w:r>
        <w:rPr>
          <w:rFonts w:hint="eastAsia" w:ascii="方正楷体_GB2312" w:hAnsi="方正楷体_GB2312" w:eastAsia="方正楷体_GB2312" w:cs="方正楷体_GB2312"/>
          <w:color w:val="auto"/>
          <w:sz w:val="32"/>
          <w:szCs w:val="32"/>
          <w:lang w:val="zh-CN" w:eastAsia="zh-CN" w:bidi="ar-SA"/>
        </w:rPr>
        <w:t>（</w:t>
      </w:r>
      <w:r>
        <w:rPr>
          <w:rFonts w:hint="eastAsia" w:ascii="方正楷体_GB2312" w:hAnsi="方正楷体_GB2312" w:eastAsia="方正楷体_GB2312" w:cs="方正楷体_GB2312"/>
          <w:color w:val="auto"/>
          <w:sz w:val="32"/>
          <w:szCs w:val="32"/>
          <w:lang w:val="en-US" w:eastAsia="zh-CN" w:bidi="ar-SA"/>
        </w:rPr>
        <w:t>3</w:t>
      </w:r>
      <w:r>
        <w:rPr>
          <w:rFonts w:hint="eastAsia" w:ascii="方正楷体_GB2312" w:hAnsi="方正楷体_GB2312" w:eastAsia="方正楷体_GB2312" w:cs="方正楷体_GB2312"/>
          <w:color w:val="auto"/>
          <w:sz w:val="32"/>
          <w:szCs w:val="32"/>
          <w:lang w:val="zh-CN" w:eastAsia="zh-CN" w:bidi="ar-SA"/>
        </w:rPr>
        <w:t>）项目入库</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w:t>
      </w:r>
      <w:r>
        <w:rPr>
          <w:rFonts w:hint="eastAsia" w:ascii="Times New Roman" w:hAnsi="Times New Roman" w:eastAsia="仿宋_GB2312" w:cs="Times New Roman"/>
          <w:color w:val="auto"/>
          <w:sz w:val="32"/>
          <w:szCs w:val="32"/>
          <w:lang w:val="zh-CN" w:eastAsia="zh-CN" w:bidi="ar-SA"/>
        </w:rPr>
        <w:t>预算阶段项目</w:t>
      </w:r>
      <w:r>
        <w:rPr>
          <w:rFonts w:hint="eastAsia" w:ascii="Times New Roman" w:hAnsi="Times New Roman" w:eastAsia="仿宋_GB2312" w:cs="Times New Roman"/>
          <w:color w:val="auto"/>
          <w:sz w:val="32"/>
          <w:szCs w:val="32"/>
          <w:lang w:val="en-US" w:eastAsia="zh-CN" w:bidi="ar-SA"/>
        </w:rPr>
        <w:t>均已在规定时间内入财政库。</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黑体" w:hAnsi="黑体" w:eastAsia="黑体" w:cs="黑体"/>
          <w:b/>
          <w:bCs/>
          <w:color w:val="auto"/>
          <w:sz w:val="32"/>
          <w:szCs w:val="32"/>
          <w:lang w:val="zh-CN" w:eastAsia="zh-CN" w:bidi="ar-SA"/>
        </w:rPr>
      </w:pPr>
      <w:r>
        <w:rPr>
          <w:rFonts w:hint="eastAsia" w:ascii="黑体" w:hAnsi="黑体" w:eastAsia="黑体" w:cs="黑体"/>
          <w:b/>
          <w:bCs/>
          <w:color w:val="auto"/>
          <w:sz w:val="32"/>
          <w:szCs w:val="32"/>
          <w:lang w:val="en-US" w:eastAsia="zh-CN" w:bidi="ar-SA"/>
        </w:rPr>
        <w:t>2.项目执行</w:t>
      </w:r>
      <w:r>
        <w:rPr>
          <w:rFonts w:hint="eastAsia" w:ascii="黑体" w:hAnsi="黑体" w:eastAsia="黑体" w:cs="黑体"/>
          <w:b/>
          <w:bCs/>
          <w:color w:val="auto"/>
          <w:sz w:val="32"/>
          <w:szCs w:val="32"/>
          <w:lang w:val="zh-CN"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en-US" w:eastAsia="zh-CN" w:bidi="ar-SA"/>
        </w:rPr>
        <w:t>（</w:t>
      </w:r>
      <w:r>
        <w:rPr>
          <w:rFonts w:hint="default" w:ascii="Times New Roman" w:hAnsi="Times New Roman" w:eastAsia="仿宋_GB2312" w:cs="Times New Roman"/>
          <w:color w:val="auto"/>
          <w:sz w:val="32"/>
          <w:szCs w:val="32"/>
          <w:lang w:val="en-US" w:eastAsia="zh-CN" w:bidi="ar-SA"/>
        </w:rPr>
        <w:t>1</w:t>
      </w:r>
      <w:r>
        <w:rPr>
          <w:rFonts w:hint="eastAsia" w:ascii="Times New Roman" w:hAnsi="Times New Roman" w:eastAsia="仿宋_GB2312" w:cs="Times New Roman"/>
          <w:color w:val="auto"/>
          <w:sz w:val="32"/>
          <w:szCs w:val="32"/>
          <w:lang w:val="en-US" w:eastAsia="zh-CN" w:bidi="ar-SA"/>
        </w:rPr>
        <w:t>）</w:t>
      </w:r>
      <w:r>
        <w:rPr>
          <w:rFonts w:hint="eastAsia" w:ascii="Times New Roman" w:hAnsi="Times New Roman" w:eastAsia="仿宋_GB2312" w:cs="Times New Roman"/>
          <w:color w:val="auto"/>
          <w:sz w:val="32"/>
          <w:szCs w:val="32"/>
          <w:lang w:val="zh-CN" w:eastAsia="zh-CN" w:bidi="ar-SA"/>
        </w:rPr>
        <w:t>资金执行同向</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w:t>
      </w:r>
      <w:r>
        <w:rPr>
          <w:rFonts w:hint="eastAsia" w:ascii="Times New Roman" w:hAnsi="Times New Roman" w:eastAsia="仿宋_GB2312" w:cs="Times New Roman"/>
          <w:color w:val="auto"/>
          <w:sz w:val="32"/>
          <w:szCs w:val="32"/>
          <w:lang w:val="zh-CN" w:eastAsia="zh-CN" w:bidi="ar-SA"/>
        </w:rPr>
        <w:t>预算阶段项目</w:t>
      </w:r>
      <w:r>
        <w:rPr>
          <w:rFonts w:hint="eastAsia" w:ascii="Times New Roman" w:hAnsi="Times New Roman" w:eastAsia="仿宋_GB2312" w:cs="Times New Roman"/>
          <w:color w:val="auto"/>
          <w:sz w:val="32"/>
          <w:szCs w:val="32"/>
          <w:lang w:val="en-US" w:eastAsia="zh-CN" w:bidi="ar-SA"/>
        </w:rPr>
        <w:t>无实际列支内容与绩效目标设置方向不相符的部门预算阶段项目。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w:t>
      </w:r>
      <w:r>
        <w:rPr>
          <w:rFonts w:hint="eastAsia" w:ascii="Times New Roman" w:hAnsi="Times New Roman" w:eastAsia="仿宋_GB2312" w:cs="Times New Roman"/>
          <w:color w:val="auto"/>
          <w:sz w:val="32"/>
          <w:szCs w:val="32"/>
          <w:lang w:val="en-US" w:eastAsia="zh-CN" w:bidi="ar-SA"/>
        </w:rPr>
        <w:t>2</w:t>
      </w:r>
      <w:r>
        <w:rPr>
          <w:rFonts w:hint="eastAsia" w:ascii="Times New Roman" w:hAnsi="Times New Roman" w:eastAsia="仿宋_GB2312" w:cs="Times New Roman"/>
          <w:color w:val="auto"/>
          <w:sz w:val="32"/>
          <w:szCs w:val="32"/>
          <w:lang w:val="zh-CN" w:eastAsia="zh-CN" w:bidi="ar-SA"/>
        </w:rPr>
        <w:t>）项目调整</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本单位应采取收回预算、调整目标等处置措施的部门预算项目均按程序进行预算收回和目标调整。</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w:t>
      </w:r>
      <w:r>
        <w:rPr>
          <w:rFonts w:hint="eastAsia" w:ascii="Times New Roman" w:hAnsi="Times New Roman" w:eastAsia="仿宋_GB2312" w:cs="Times New Roman"/>
          <w:color w:val="auto"/>
          <w:sz w:val="32"/>
          <w:szCs w:val="32"/>
          <w:lang w:val="en-US" w:eastAsia="zh-CN" w:bidi="ar-SA"/>
        </w:rPr>
        <w:t>3</w:t>
      </w:r>
      <w:r>
        <w:rPr>
          <w:rFonts w:hint="eastAsia" w:ascii="Times New Roman" w:hAnsi="Times New Roman" w:eastAsia="仿宋_GB2312" w:cs="Times New Roman"/>
          <w:color w:val="auto"/>
          <w:sz w:val="32"/>
          <w:szCs w:val="32"/>
          <w:lang w:val="zh-CN" w:eastAsia="zh-CN" w:bidi="ar-SA"/>
        </w:rPr>
        <w:t>）执行结果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本单位预算项目预算结余率均小于10%。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综上，根据评分标准，该项指标不扣分，得4分。</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黑体" w:hAnsi="黑体" w:eastAsia="黑体" w:cs="黑体"/>
          <w:b/>
          <w:bCs/>
          <w:color w:val="auto"/>
          <w:sz w:val="32"/>
          <w:szCs w:val="32"/>
          <w:lang w:val="zh-CN" w:eastAsia="zh-CN" w:bidi="ar-SA"/>
        </w:rPr>
      </w:pPr>
      <w:r>
        <w:rPr>
          <w:rFonts w:hint="eastAsia" w:ascii="黑体" w:hAnsi="黑体" w:eastAsia="黑体" w:cs="黑体"/>
          <w:b/>
          <w:bCs/>
          <w:color w:val="auto"/>
          <w:sz w:val="32"/>
          <w:szCs w:val="32"/>
          <w:lang w:val="en-US" w:eastAsia="zh-CN" w:bidi="ar-SA"/>
        </w:rPr>
        <w:t>3.</w:t>
      </w:r>
      <w:r>
        <w:rPr>
          <w:rFonts w:hint="eastAsia" w:ascii="黑体" w:hAnsi="黑体" w:eastAsia="黑体" w:cs="黑体"/>
          <w:b/>
          <w:bCs/>
          <w:color w:val="auto"/>
          <w:sz w:val="32"/>
          <w:szCs w:val="32"/>
          <w:lang w:val="zh-CN" w:eastAsia="zh-CN" w:bidi="ar-SA"/>
        </w:rPr>
        <w:t>目标实现。</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w:t>
      </w:r>
      <w:r>
        <w:rPr>
          <w:rFonts w:hint="eastAsia" w:ascii="Times New Roman" w:hAnsi="Times New Roman" w:eastAsia="仿宋_GB2312" w:cs="Times New Roman"/>
          <w:color w:val="auto"/>
          <w:sz w:val="32"/>
          <w:szCs w:val="32"/>
          <w:lang w:val="en-US" w:eastAsia="zh-CN" w:bidi="ar-SA"/>
        </w:rPr>
        <w:t>1</w:t>
      </w:r>
      <w:r>
        <w:rPr>
          <w:rFonts w:hint="eastAsia" w:ascii="Times New Roman" w:hAnsi="Times New Roman" w:eastAsia="仿宋_GB2312" w:cs="Times New Roman"/>
          <w:color w:val="auto"/>
          <w:sz w:val="32"/>
          <w:szCs w:val="32"/>
          <w:lang w:val="zh-CN" w:eastAsia="zh-CN" w:bidi="ar-SA"/>
        </w:rPr>
        <w:t>）目标完成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w:t>
      </w:r>
      <w:r>
        <w:rPr>
          <w:rFonts w:hint="eastAsia" w:ascii="Times New Roman" w:hAnsi="Times New Roman" w:eastAsia="仿宋_GB2312" w:cs="Times New Roman"/>
          <w:color w:val="auto"/>
          <w:sz w:val="32"/>
          <w:szCs w:val="32"/>
          <w:lang w:val="zh-CN" w:eastAsia="zh-CN" w:bidi="ar-SA"/>
        </w:rPr>
        <w:t>预算项目</w:t>
      </w:r>
      <w:r>
        <w:rPr>
          <w:rFonts w:hint="eastAsia" w:ascii="Times New Roman" w:hAnsi="Times New Roman" w:eastAsia="仿宋_GB2312" w:cs="Times New Roman"/>
          <w:color w:val="auto"/>
          <w:sz w:val="32"/>
          <w:szCs w:val="32"/>
          <w:lang w:val="en-US" w:eastAsia="zh-CN" w:bidi="ar-SA"/>
        </w:rPr>
        <w:t>均已完成绩效目标数量指标。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w:t>
      </w:r>
      <w:r>
        <w:rPr>
          <w:rFonts w:hint="eastAsia" w:ascii="Times New Roman" w:hAnsi="Times New Roman" w:eastAsia="仿宋_GB2312" w:cs="Times New Roman"/>
          <w:color w:val="auto"/>
          <w:sz w:val="32"/>
          <w:szCs w:val="32"/>
          <w:lang w:val="en-US" w:eastAsia="zh-CN" w:bidi="ar-SA"/>
        </w:rPr>
        <w:t>2</w:t>
      </w:r>
      <w:r>
        <w:rPr>
          <w:rFonts w:hint="eastAsia" w:ascii="Times New Roman" w:hAnsi="Times New Roman" w:eastAsia="仿宋_GB2312" w:cs="Times New Roman"/>
          <w:color w:val="auto"/>
          <w:sz w:val="32"/>
          <w:szCs w:val="32"/>
          <w:lang w:val="zh-CN" w:eastAsia="zh-CN" w:bidi="ar-SA"/>
        </w:rPr>
        <w:t>）目标偏离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本单位已完成预期指标值的数量指标中偏离度均在30%以内。</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en-US" w:eastAsia="zh-CN" w:bidi="ar-SA"/>
        </w:rPr>
        <w:t>综上，根据评分标准，该项指标不扣分，得4分。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w:t>
      </w:r>
      <w:r>
        <w:rPr>
          <w:rFonts w:hint="eastAsia" w:ascii="Times New Roman" w:hAnsi="Times New Roman" w:eastAsia="仿宋_GB2312" w:cs="Times New Roman"/>
          <w:color w:val="auto"/>
          <w:sz w:val="32"/>
          <w:szCs w:val="32"/>
          <w:lang w:val="en-US" w:eastAsia="zh-CN" w:bidi="ar-SA"/>
        </w:rPr>
        <w:t>3</w:t>
      </w:r>
      <w:r>
        <w:rPr>
          <w:rFonts w:hint="eastAsia" w:ascii="Times New Roman" w:hAnsi="Times New Roman" w:eastAsia="仿宋_GB2312" w:cs="Times New Roman"/>
          <w:color w:val="auto"/>
          <w:sz w:val="32"/>
          <w:szCs w:val="32"/>
          <w:lang w:val="zh-CN" w:eastAsia="zh-CN" w:bidi="ar-SA"/>
        </w:rPr>
        <w:t>）实现效果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本单位预算项目绩效目标效益指标实施效果较好，均已达到设定指标值。</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综上，根据评分标准，该项指标不扣分，得3分。</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ascii="Times New Roman" w:hAnsi="Times New Roman" w:eastAsia="楷体_GB2312" w:cs="Times New Roman"/>
          <w:b/>
          <w:bCs/>
          <w:color w:val="000000"/>
          <w:kern w:val="0"/>
          <w:sz w:val="32"/>
          <w:szCs w:val="32"/>
          <w:highlight w:val="none"/>
          <w:shd w:val="clear" w:color="auto" w:fill="FFFFFF"/>
          <w:lang w:val="zh-CN" w:eastAsia="zh-CN" w:bidi="ar-SA"/>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重点领域绩效分析。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1．</w:t>
      </w:r>
      <w:r>
        <w:rPr>
          <w:rFonts w:hint="default" w:ascii="Times New Roman" w:hAnsi="Times New Roman" w:eastAsia="仿宋_GB2312" w:cs="Times New Roman"/>
          <w:color w:val="auto"/>
          <w:sz w:val="32"/>
          <w:szCs w:val="32"/>
          <w:lang w:val="en-US" w:eastAsia="zh-CN" w:bidi="ar-SA"/>
        </w:rPr>
        <w:t>行政事业性国有资产</w:t>
      </w:r>
      <w:r>
        <w:rPr>
          <w:rFonts w:hint="eastAsia" w:ascii="Times New Roman" w:hAnsi="Times New Roman" w:eastAsia="仿宋_GB2312" w:cs="Times New Roman"/>
          <w:color w:val="auto"/>
          <w:sz w:val="32"/>
          <w:szCs w:val="32"/>
          <w:lang w:val="en-US" w:eastAsia="zh-CN" w:bidi="ar-SA"/>
        </w:rPr>
        <w:t>绩效分析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严格按照相关工作要求，在四川省行政事业性国有资产管理信息系统中对国有资产进行管理，按时将新购、满足固定资产登记条件的资产进行资产卡片新增。每月初按时填报资产月报，严格审核，确保数据准确、及时、完整性，有效夯实了行政事业性国有资产管理基础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2．政府采购绩效分析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本单位严格遵守政府采购实行归口管理，按照编制采购预算、申报采购计划、组织实施采购的程序进行采购。已完成采购项目，均已在外网备案采购合同，未完成采购项目，均已在外网申报采购计划或外网已公开采购意向，未发生违法违纪行为。</w:t>
      </w:r>
    </w:p>
    <w:p>
      <w:pPr>
        <w:keepNext w:val="0"/>
        <w:keepLines w:val="0"/>
        <w:pageBreakBefore w:val="0"/>
        <w:widowControl w:val="0"/>
        <w:kinsoku/>
        <w:wordWrap/>
        <w:overflowPunct/>
        <w:topLinePunct w:val="0"/>
        <w:autoSpaceDE/>
        <w:autoSpaceDN/>
        <w:bidi w:val="0"/>
        <w:snapToGrid w:val="0"/>
        <w:spacing w:line="560" w:lineRule="exact"/>
        <w:ind w:firstLine="643" w:firstLineChars="200"/>
        <w:textAlignment w:val="auto"/>
        <w:outlineLvl w:val="1"/>
        <w:rPr>
          <w:rFonts w:hint="eastAsia" w:ascii="Times New Roman" w:hAnsi="Times New Roman" w:eastAsia="楷体_GB2312" w:cs="Times New Roman"/>
          <w:b/>
          <w:bCs/>
          <w:sz w:val="32"/>
          <w:szCs w:val="32"/>
          <w:lang w:val="zh-CN" w:eastAsia="zh-CN" w:bidi="ar-SA"/>
        </w:rPr>
      </w:pPr>
      <w:r>
        <w:rPr>
          <w:rFonts w:hint="default" w:ascii="Times New Roman" w:hAnsi="Times New Roman" w:eastAsia="楷体_GB2312" w:cs="Times New Roman"/>
          <w:b/>
          <w:bCs/>
          <w:sz w:val="32"/>
          <w:szCs w:val="32"/>
          <w:lang w:val="zh-CN" w:eastAsia="zh-CN" w:bidi="ar-SA"/>
        </w:rPr>
        <w:t>（四）绩效结果应用情况</w:t>
      </w:r>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640" w:firstLineChars="200"/>
        <w:textAlignment w:val="auto"/>
        <w:rPr>
          <w:rFonts w:hint="eastAsia" w:ascii="仿宋_GB2312" w:hAnsi="仿宋_GB2312" w:eastAsia="仿宋_GB2312" w:cs="仿宋_GB2312"/>
          <w:color w:val="000000"/>
          <w:sz w:val="32"/>
          <w:szCs w:val="32"/>
          <w:lang w:val="zh-CN" w:eastAsia="zh-CN" w:bidi="ar-SA"/>
        </w:rPr>
      </w:pPr>
      <w:r>
        <w:rPr>
          <w:rFonts w:hint="eastAsia" w:ascii="仿宋_GB2312" w:hAnsi="仿宋_GB2312" w:eastAsia="仿宋_GB2312" w:cs="仿宋_GB2312"/>
          <w:color w:val="000000"/>
          <w:sz w:val="32"/>
          <w:szCs w:val="32"/>
          <w:lang w:val="en-US" w:eastAsia="zh-CN" w:bidi="ar-SA"/>
        </w:rPr>
        <w:t>2024年我单位从收支执行，三公经费管理，预算管理，绩效管理等方面进行了详尽单位</w:t>
      </w:r>
      <w:r>
        <w:rPr>
          <w:rFonts w:hint="eastAsia" w:ascii="仿宋_GB2312" w:hAnsi="仿宋_GB2312" w:eastAsia="仿宋_GB2312" w:cs="仿宋_GB2312"/>
          <w:color w:val="000000"/>
          <w:sz w:val="32"/>
          <w:szCs w:val="32"/>
          <w:lang w:val="zh-CN" w:eastAsia="zh-CN" w:bidi="ar-SA"/>
        </w:rPr>
        <w:t>自评，</w:t>
      </w:r>
      <w:r>
        <w:rPr>
          <w:rFonts w:hint="eastAsia" w:ascii="仿宋_GB2312" w:hAnsi="仿宋_GB2312" w:eastAsia="仿宋_GB2312" w:cs="仿宋_GB2312"/>
          <w:color w:val="000000"/>
          <w:sz w:val="32"/>
          <w:szCs w:val="32"/>
          <w:lang w:val="en-US" w:eastAsia="zh-CN" w:bidi="ar-SA"/>
        </w:rPr>
        <w:t>2024年预算绩效目标，项目预算绩效目标等均进行了公开，评价结果较好，对部门预算编制不够精准细化的问题将在后续预算编制和执行工作中逐步改进。</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0"/>
        <w:rPr>
          <w:rFonts w:hint="default" w:ascii="Times New Roman" w:hAnsi="Times New Roman" w:eastAsia="黑体" w:cs="Times New Roman"/>
          <w:b/>
          <w:bCs/>
          <w:color w:val="000000"/>
          <w:kern w:val="0"/>
          <w:sz w:val="32"/>
          <w:szCs w:val="32"/>
          <w:highlight w:val="none"/>
          <w:shd w:val="clear" w:color="auto" w:fill="FFFFFF"/>
          <w:lang w:bidi="ar-SA"/>
        </w:rPr>
      </w:pPr>
      <w:r>
        <w:rPr>
          <w:rFonts w:hint="default" w:ascii="Times New Roman" w:hAnsi="Times New Roman" w:eastAsia="黑体" w:cs="Times New Roman"/>
          <w:b/>
          <w:bCs/>
          <w:color w:val="000000"/>
          <w:kern w:val="0"/>
          <w:sz w:val="32"/>
          <w:szCs w:val="32"/>
          <w:highlight w:val="none"/>
          <w:shd w:val="clear" w:color="auto" w:fill="FFFFFF"/>
          <w:lang w:eastAsia="zh-CN" w:bidi="ar-SA"/>
        </w:rPr>
        <w:t>四、</w:t>
      </w:r>
      <w:r>
        <w:rPr>
          <w:rFonts w:hint="default" w:ascii="Times New Roman" w:hAnsi="Times New Roman" w:eastAsia="黑体" w:cs="Times New Roman"/>
          <w:b/>
          <w:bCs/>
          <w:color w:val="000000"/>
          <w:kern w:val="0"/>
          <w:sz w:val="32"/>
          <w:szCs w:val="32"/>
          <w:highlight w:val="none"/>
          <w:shd w:val="clear" w:color="auto" w:fill="FFFFFF"/>
          <w:lang w:bidi="ar-SA"/>
        </w:rPr>
        <w:t>评价结论及建议</w:t>
      </w:r>
    </w:p>
    <w:p>
      <w:pPr>
        <w:pStyle w:val="17"/>
        <w:keepNext w:val="0"/>
        <w:keepLines w:val="0"/>
        <w:pageBreakBefore w:val="0"/>
        <w:widowControl w:val="0"/>
        <w:kinsoku/>
        <w:wordWrap/>
        <w:overflowPunct/>
        <w:topLinePunct w:val="0"/>
        <w:autoSpaceDE/>
        <w:autoSpaceDN/>
        <w:bidi w:val="0"/>
        <w:spacing w:after="0" w:line="560" w:lineRule="exact"/>
        <w:ind w:left="0" w:leftChars="0" w:firstLine="643" w:firstLineChars="200"/>
        <w:textAlignment w:val="auto"/>
        <w:outlineLvl w:val="1"/>
        <w:rPr>
          <w:rFonts w:hint="eastAsia" w:ascii="方正楷体_GB2312" w:hAnsi="方正楷体_GB2312" w:eastAsia="方正楷体_GB2312" w:cs="方正楷体_GB2312"/>
          <w:b/>
          <w:bCs/>
          <w:color w:val="000000"/>
          <w:kern w:val="0"/>
          <w:sz w:val="32"/>
          <w:szCs w:val="32"/>
          <w:highlight w:val="none"/>
          <w:shd w:val="clear" w:color="auto" w:fill="FFFFFF"/>
          <w:lang w:val="zh-CN" w:eastAsia="zh-CN" w:bidi="ar-SA"/>
        </w:rPr>
      </w:pPr>
      <w:r>
        <w:rPr>
          <w:rFonts w:hint="eastAsia" w:ascii="方正楷体_GB2312" w:hAnsi="方正楷体_GB2312" w:eastAsia="方正楷体_GB2312" w:cs="方正楷体_GB2312"/>
          <w:b/>
          <w:bCs/>
          <w:color w:val="000000"/>
          <w:kern w:val="0"/>
          <w:sz w:val="32"/>
          <w:szCs w:val="32"/>
          <w:highlight w:val="none"/>
          <w:shd w:val="clear" w:color="auto" w:fill="FFFFFF"/>
          <w:lang w:val="zh-CN" w:eastAsia="zh-CN" w:bidi="ar-SA"/>
        </w:rPr>
        <w:t>（一）评价结论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color w:val="auto"/>
          <w:sz w:val="32"/>
          <w:szCs w:val="32"/>
          <w:lang w:val="en-US" w:eastAsia="zh-CN" w:bidi="ar-SA"/>
        </w:rPr>
        <w:t>本单位履职效果和预算管理效果较好，财务管理、资产管理、采购管理规范，项目决策程序严格</w:t>
      </w:r>
      <w:r>
        <w:rPr>
          <w:rFonts w:hint="eastAsia" w:ascii="仿宋_GB2312" w:hAnsi="仿宋_GB2312" w:eastAsia="仿宋_GB2312" w:cs="仿宋_GB2312"/>
          <w:color w:val="auto"/>
          <w:sz w:val="32"/>
          <w:szCs w:val="32"/>
          <w:lang w:val="zh-CN" w:eastAsia="zh-CN" w:bidi="ar-SA"/>
        </w:rPr>
        <w:t>，项目执行</w:t>
      </w:r>
      <w:r>
        <w:rPr>
          <w:rFonts w:hint="eastAsia" w:ascii="仿宋_GB2312" w:hAnsi="仿宋_GB2312" w:eastAsia="仿宋_GB2312" w:cs="仿宋_GB2312"/>
          <w:color w:val="auto"/>
          <w:sz w:val="32"/>
          <w:szCs w:val="32"/>
          <w:lang w:val="en-US" w:eastAsia="zh-CN" w:bidi="ar-SA"/>
        </w:rPr>
        <w:t>进度和绩效目标实现程度良好，严格按照</w:t>
      </w:r>
      <w:r>
        <w:rPr>
          <w:rFonts w:hint="eastAsia" w:ascii="仿宋_GB2312" w:hAnsi="仿宋_GB2312" w:eastAsia="仿宋_GB2312" w:cs="仿宋_GB2312"/>
          <w:kern w:val="0"/>
          <w:sz w:val="32"/>
          <w:szCs w:val="32"/>
        </w:rPr>
        <w:t>《阿坝州财政局关于开展2025年州级部门预算绩效自评工作的通知》（阿州财监绩〔2025〕4号）</w:t>
      </w:r>
      <w:r>
        <w:rPr>
          <w:rFonts w:hint="eastAsia" w:ascii="仿宋_GB2312" w:hAnsi="仿宋_GB2312" w:eastAsia="仿宋_GB2312" w:cs="仿宋_GB2312"/>
          <w:color w:val="auto"/>
          <w:sz w:val="32"/>
          <w:szCs w:val="32"/>
          <w:lang w:val="en-US" w:eastAsia="zh-CN" w:bidi="ar-SA"/>
        </w:rPr>
        <w:t>要求，完成一般公共预算和阶段性项目绩效目标自评表的填报，完成专项预算项目自评工作，实现部门预算项目自评全覆盖。</w:t>
      </w:r>
      <w:r>
        <w:rPr>
          <w:rFonts w:hint="eastAsia" w:ascii="仿宋_GB2312" w:hAnsi="仿宋_GB2312" w:eastAsia="仿宋_GB2312" w:cs="仿宋_GB2312"/>
          <w:color w:val="auto"/>
          <w:sz w:val="32"/>
          <w:szCs w:val="32"/>
          <w:lang w:val="zh-CN" w:eastAsia="zh-CN" w:bidi="ar-SA"/>
        </w:rPr>
        <w:t>根据《部门整体支出绩效评价指标体系》，</w:t>
      </w:r>
      <w:r>
        <w:rPr>
          <w:rFonts w:hint="eastAsia" w:ascii="仿宋_GB2312" w:hAnsi="仿宋_GB2312" w:eastAsia="仿宋_GB2312" w:cs="仿宋_GB2312"/>
          <w:color w:val="auto"/>
          <w:sz w:val="32"/>
          <w:szCs w:val="32"/>
          <w:lang w:val="en-US" w:eastAsia="zh-CN" w:bidi="ar-SA"/>
        </w:rPr>
        <w:t>本单位</w:t>
      </w:r>
      <w:r>
        <w:rPr>
          <w:rFonts w:hint="eastAsia" w:ascii="仿宋_GB2312" w:hAnsi="仿宋_GB2312" w:eastAsia="仿宋_GB2312" w:cs="仿宋_GB2312"/>
          <w:color w:val="auto"/>
          <w:sz w:val="32"/>
          <w:szCs w:val="32"/>
          <w:lang w:val="zh-CN" w:eastAsia="zh-CN" w:bidi="ar-SA"/>
        </w:rPr>
        <w:t>202</w:t>
      </w:r>
      <w:r>
        <w:rPr>
          <w:rFonts w:hint="eastAsia" w:ascii="仿宋_GB2312" w:hAnsi="仿宋_GB2312" w:eastAsia="仿宋_GB2312" w:cs="仿宋_GB2312"/>
          <w:color w:val="auto"/>
          <w:sz w:val="32"/>
          <w:szCs w:val="32"/>
          <w:lang w:val="en-US" w:eastAsia="zh-CN" w:bidi="ar-SA"/>
        </w:rPr>
        <w:t>4</w:t>
      </w:r>
      <w:r>
        <w:rPr>
          <w:rFonts w:hint="eastAsia" w:ascii="仿宋_GB2312" w:hAnsi="仿宋_GB2312" w:eastAsia="仿宋_GB2312" w:cs="仿宋_GB2312"/>
          <w:color w:val="auto"/>
          <w:sz w:val="32"/>
          <w:szCs w:val="32"/>
          <w:lang w:val="zh-CN" w:eastAsia="zh-CN" w:bidi="ar-SA"/>
        </w:rPr>
        <w:t>年</w:t>
      </w:r>
      <w:r>
        <w:rPr>
          <w:rFonts w:hint="eastAsia" w:ascii="仿宋_GB2312" w:hAnsi="仿宋_GB2312" w:eastAsia="仿宋_GB2312" w:cs="仿宋_GB2312"/>
          <w:sz w:val="32"/>
          <w:szCs w:val="32"/>
          <w:lang w:val="zh-CN" w:eastAsia="zh-CN" w:bidi="ar-SA"/>
        </w:rPr>
        <w:t>度自评得分</w:t>
      </w:r>
      <w:r>
        <w:rPr>
          <w:rFonts w:hint="eastAsia" w:ascii="仿宋_GB2312" w:hAnsi="仿宋_GB2312" w:eastAsia="仿宋_GB2312" w:cs="仿宋_GB2312"/>
          <w:sz w:val="32"/>
          <w:szCs w:val="32"/>
          <w:lang w:val="en-US" w:eastAsia="zh-CN" w:bidi="ar-SA"/>
        </w:rPr>
        <w:t>为99.2</w:t>
      </w:r>
      <w:r>
        <w:rPr>
          <w:rFonts w:hint="eastAsia" w:ascii="仿宋_GB2312" w:hAnsi="仿宋_GB2312" w:eastAsia="仿宋_GB2312" w:cs="仿宋_GB2312"/>
          <w:sz w:val="32"/>
          <w:szCs w:val="32"/>
          <w:lang w:val="zh-CN" w:eastAsia="zh-CN" w:bidi="ar-SA"/>
        </w:rPr>
        <w:t>分。</w:t>
      </w:r>
    </w:p>
    <w:p>
      <w:pPr>
        <w:widowControl/>
        <w:spacing w:line="560" w:lineRule="exact"/>
        <w:ind w:firstLine="643" w:firstLineChars="200"/>
        <w:rPr>
          <w:rFonts w:hint="eastAsia" w:ascii="方正楷体_GB2312" w:hAnsi="方正楷体_GB2312" w:eastAsia="方正楷体_GB2312" w:cs="方正楷体_GB2312"/>
          <w:b/>
          <w:bCs/>
          <w:color w:val="000000"/>
          <w:kern w:val="0"/>
          <w:sz w:val="32"/>
          <w:szCs w:val="32"/>
          <w:lang w:bidi="ar-SA"/>
        </w:rPr>
      </w:pPr>
      <w:r>
        <w:rPr>
          <w:rFonts w:hint="eastAsia" w:ascii="方正楷体_GB2312" w:hAnsi="方正楷体_GB2312" w:eastAsia="方正楷体_GB2312" w:cs="方正楷体_GB2312"/>
          <w:b/>
          <w:bCs/>
          <w:color w:val="000000"/>
          <w:kern w:val="0"/>
          <w:sz w:val="32"/>
          <w:szCs w:val="32"/>
          <w:lang w:val="zh-CN" w:eastAsia="zh-CN" w:bidi="ar-SA"/>
        </w:rPr>
        <w:t>（二）存在问题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lang w:val="zh-CN" w:eastAsia="zh-CN"/>
        </w:rPr>
      </w:pPr>
      <w:r>
        <w:rPr>
          <w:rFonts w:hint="eastAsia" w:ascii="仿宋_GB2312" w:eastAsia="仿宋_GB2312"/>
          <w:sz w:val="32"/>
          <w:szCs w:val="32"/>
        </w:rPr>
        <w:t>一是预算编制科学性和合理性还有待加强；二是财务人员业务水平有待提高；三是资金使用计划有待提高；四是绩效管理水平有待提升。</w:t>
      </w:r>
    </w:p>
    <w:p>
      <w:pPr>
        <w:widowControl/>
        <w:adjustRightInd w:val="0"/>
        <w:snapToGrid w:val="0"/>
        <w:spacing w:line="560" w:lineRule="exact"/>
        <w:ind w:firstLine="643" w:firstLineChars="200"/>
        <w:contextualSpacing/>
        <w:jc w:val="left"/>
        <w:rPr>
          <w:rFonts w:hint="eastAsia" w:ascii="方正楷体_GB2312" w:hAnsi="方正楷体_GB2312" w:eastAsia="方正楷体_GB2312" w:cs="方正楷体_GB2312"/>
          <w:b/>
          <w:bCs/>
          <w:color w:val="000000"/>
          <w:kern w:val="0"/>
          <w:sz w:val="32"/>
          <w:szCs w:val="32"/>
          <w:lang w:val="zh-CN" w:eastAsia="zh-CN" w:bidi="ar-SA"/>
        </w:rPr>
      </w:pPr>
      <w:r>
        <w:rPr>
          <w:rFonts w:hint="eastAsia" w:ascii="方正楷体_GB2312" w:hAnsi="方正楷体_GB2312" w:eastAsia="方正楷体_GB2312" w:cs="方正楷体_GB2312"/>
          <w:b/>
          <w:bCs/>
          <w:color w:val="000000"/>
          <w:kern w:val="0"/>
          <w:sz w:val="32"/>
          <w:szCs w:val="32"/>
          <w:lang w:val="zh-CN" w:eastAsia="zh-CN" w:bidi="ar-SA"/>
        </w:rPr>
        <w:t>（三）改进建议</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rPr>
          <w:rFonts w:hint="eastAsia" w:ascii="仿宋_GB2312" w:eastAsia="仿宋_GB2312"/>
          <w:color w:val="000000"/>
          <w:kern w:val="0"/>
          <w:sz w:val="32"/>
          <w:szCs w:val="32"/>
          <w:lang w:val="zh-CN" w:eastAsia="zh-CN"/>
        </w:rPr>
      </w:pPr>
      <w:r>
        <w:rPr>
          <w:rFonts w:hint="eastAsia" w:ascii="仿宋_GB2312" w:eastAsia="仿宋_GB2312"/>
          <w:b/>
          <w:bCs/>
          <w:color w:val="000000"/>
          <w:kern w:val="0"/>
          <w:sz w:val="32"/>
          <w:szCs w:val="32"/>
        </w:rPr>
        <w:t>1、</w:t>
      </w:r>
      <w:r>
        <w:rPr>
          <w:rFonts w:hint="eastAsia" w:ascii="仿宋_GB2312" w:eastAsia="仿宋_GB2312"/>
          <w:b/>
          <w:bCs/>
          <w:color w:val="000000"/>
          <w:kern w:val="0"/>
          <w:sz w:val="32"/>
          <w:szCs w:val="32"/>
          <w:lang w:val="zh-CN" w:eastAsia="zh-CN"/>
        </w:rPr>
        <w:t>科学合理编制预算。</w:t>
      </w:r>
      <w:r>
        <w:rPr>
          <w:rFonts w:hint="eastAsia" w:ascii="仿宋_GB2312" w:eastAsia="仿宋_GB2312"/>
          <w:color w:val="000000"/>
          <w:kern w:val="0"/>
          <w:sz w:val="32"/>
          <w:szCs w:val="32"/>
          <w:lang w:val="zh-CN" w:eastAsia="zh-CN"/>
        </w:rPr>
        <w:t>加强预算编制的前瞻性，按照新《预算法》及其实施条例的相关规定，按政策规定及本部门的发展规划，结合上一年度预算执行情况和本年度预算收支变化因素，提高预算编制的科学性、严谨性和可控性。</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rPr>
          <w:rFonts w:hint="eastAsia" w:ascii="仿宋_GB2312" w:eastAsia="仿宋_GB2312"/>
          <w:color w:val="000000"/>
          <w:kern w:val="0"/>
          <w:sz w:val="32"/>
          <w:szCs w:val="32"/>
          <w:lang w:val="zh-CN" w:eastAsia="zh-CN"/>
        </w:rPr>
      </w:pPr>
      <w:r>
        <w:rPr>
          <w:rFonts w:hint="eastAsia" w:ascii="仿宋_GB2312" w:eastAsia="仿宋_GB2312"/>
          <w:b/>
          <w:bCs/>
          <w:color w:val="000000"/>
          <w:kern w:val="0"/>
          <w:sz w:val="32"/>
          <w:szCs w:val="32"/>
        </w:rPr>
        <w:t>2、严格执行预算。</w:t>
      </w:r>
      <w:r>
        <w:rPr>
          <w:rFonts w:hint="eastAsia" w:ascii="仿宋_GB2312" w:eastAsia="仿宋_GB2312"/>
          <w:color w:val="000000"/>
          <w:kern w:val="0"/>
          <w:sz w:val="32"/>
          <w:szCs w:val="32"/>
          <w:lang w:val="zh-CN" w:eastAsia="zh-CN"/>
        </w:rPr>
        <w:t>在预算执行中严格按照预算项目进行，不得随意调整和变更预算，确需调剂预算的，按规定程序报经批准，以确保预算的刚性。</w:t>
      </w:r>
    </w:p>
    <w:p>
      <w:pPr>
        <w:keepNext w:val="0"/>
        <w:keepLines w:val="0"/>
        <w:pageBreakBefore w:val="0"/>
        <w:kinsoku/>
        <w:wordWrap/>
        <w:overflowPunct/>
        <w:topLinePunct w:val="0"/>
        <w:autoSpaceDE/>
        <w:autoSpaceDN/>
        <w:bidi w:val="0"/>
        <w:adjustRightInd/>
        <w:snapToGrid/>
        <w:spacing w:line="360" w:lineRule="auto"/>
        <w:ind w:right="0" w:rightChars="0" w:firstLine="643" w:firstLineChars="200"/>
        <w:jc w:val="both"/>
        <w:textAlignment w:val="auto"/>
        <w:rPr>
          <w:rFonts w:hint="eastAsia" w:ascii="仿宋_GB2312" w:eastAsia="仿宋_GB2312"/>
          <w:color w:val="000000"/>
          <w:kern w:val="0"/>
          <w:sz w:val="32"/>
          <w:szCs w:val="32"/>
          <w:lang w:val="zh-CN" w:eastAsia="zh-CN"/>
        </w:rPr>
      </w:pPr>
      <w:r>
        <w:rPr>
          <w:rFonts w:hint="eastAsia" w:ascii="仿宋_GB2312" w:eastAsia="仿宋_GB2312"/>
          <w:b/>
          <w:bCs/>
          <w:color w:val="000000"/>
          <w:kern w:val="0"/>
          <w:sz w:val="32"/>
          <w:szCs w:val="32"/>
        </w:rPr>
        <w:t>3、</w:t>
      </w:r>
      <w:r>
        <w:rPr>
          <w:rFonts w:hint="eastAsia" w:ascii="仿宋_GB2312" w:eastAsia="仿宋_GB2312"/>
          <w:b/>
          <w:bCs/>
          <w:color w:val="000000"/>
          <w:kern w:val="0"/>
          <w:sz w:val="32"/>
          <w:szCs w:val="32"/>
          <w:lang w:val="zh-CN" w:eastAsia="zh-CN"/>
        </w:rPr>
        <w:t>加强学习培训。</w:t>
      </w:r>
      <w:r>
        <w:rPr>
          <w:rFonts w:hint="eastAsia" w:ascii="仿宋_GB2312" w:eastAsia="仿宋_GB2312"/>
          <w:color w:val="000000"/>
          <w:kern w:val="0"/>
          <w:sz w:val="32"/>
          <w:szCs w:val="32"/>
          <w:lang w:val="zh-CN" w:eastAsia="zh-CN"/>
        </w:rPr>
        <w:t>加强《预算法》、《政府会计制度》等学习培训，规范部门预算收支核算，落实预算执行分析责任，及时了解预算执行差异，合理调整、纠正预算执行偏差，切实提高部门预算收支管理水平。</w:t>
      </w:r>
    </w:p>
    <w:p>
      <w:pPr>
        <w:pStyle w:val="2"/>
        <w:rPr>
          <w:rFonts w:hint="eastAsia" w:ascii="仿宋_GB2312" w:eastAsia="仿宋_GB2312"/>
          <w:color w:val="000000"/>
          <w:kern w:val="0"/>
          <w:sz w:val="32"/>
          <w:szCs w:val="32"/>
          <w:lang w:val="zh-CN" w:eastAsia="zh-CN"/>
        </w:rPr>
      </w:pPr>
    </w:p>
    <w:p>
      <w:pPr>
        <w:rPr>
          <w:rFonts w:hint="eastAsia" w:ascii="仿宋_GB2312" w:eastAsia="仿宋_GB2312"/>
          <w:color w:val="000000"/>
          <w:kern w:val="0"/>
          <w:sz w:val="32"/>
          <w:szCs w:val="32"/>
          <w:lang w:val="zh-CN" w:eastAsia="zh-CN"/>
        </w:rPr>
      </w:pPr>
    </w:p>
    <w:p>
      <w:pPr>
        <w:pStyle w:val="2"/>
        <w:rPr>
          <w:rFonts w:hint="eastAsia"/>
          <w:lang w:val="zh-CN" w:eastAsia="zh-CN"/>
        </w:rPr>
      </w:pPr>
      <w:bookmarkStart w:id="108" w:name="_GoBack"/>
      <w:bookmarkEnd w:id="108"/>
    </w:p>
    <w:p>
      <w:pPr>
        <w:pStyle w:val="2"/>
        <w:rPr>
          <w:rFonts w:hint="eastAsia" w:ascii="仿宋_GB2312" w:eastAsia="仿宋_GB2312"/>
          <w:color w:val="000000"/>
          <w:kern w:val="0"/>
          <w:sz w:val="32"/>
          <w:szCs w:val="32"/>
          <w:lang w:val="zh-CN"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黑体" w:hAnsi="黑体" w:eastAsia="黑体" w:cs="黑体"/>
          <w:b w:val="0"/>
          <w:bCs w:val="0"/>
          <w:kern w:val="0"/>
          <w:position w:val="0"/>
          <w:sz w:val="32"/>
          <w:szCs w:val="32"/>
          <w:highlight w:val="none"/>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黑体" w:hAnsi="黑体" w:eastAsia="黑体" w:cs="黑体"/>
          <w:b w:val="0"/>
          <w:bCs w:val="0"/>
          <w:kern w:val="0"/>
          <w:position w:val="0"/>
          <w:sz w:val="32"/>
          <w:szCs w:val="32"/>
          <w:highlight w:val="none"/>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both"/>
        <w:textAlignment w:val="auto"/>
        <w:outlineLvl w:val="9"/>
        <w:rPr>
          <w:rFonts w:hint="eastAsia" w:ascii="黑体" w:hAnsi="黑体" w:eastAsia="黑体" w:cs="黑体"/>
          <w:b w:val="0"/>
          <w:bCs w:val="0"/>
          <w:kern w:val="0"/>
          <w:position w:val="0"/>
          <w:sz w:val="36"/>
          <w:szCs w:val="36"/>
          <w:highlight w:val="none"/>
          <w:lang w:val="en-US" w:eastAsia="zh-CN" w:bidi="ar-SA"/>
        </w:rPr>
      </w:pPr>
      <w:r>
        <w:rPr>
          <w:rFonts w:hint="eastAsia" w:ascii="黑体" w:hAnsi="黑体" w:eastAsia="黑体" w:cs="黑体"/>
          <w:b w:val="0"/>
          <w:bCs w:val="0"/>
          <w:kern w:val="0"/>
          <w:position w:val="0"/>
          <w:sz w:val="36"/>
          <w:szCs w:val="36"/>
          <w:highlight w:val="none"/>
          <w:lang w:val="en-US" w:eastAsia="zh-CN" w:bidi="ar-SA"/>
        </w:rPr>
        <w:t>附表1：部门整体支出绩效目标完成情况自评</w:t>
      </w:r>
    </w:p>
    <w:p>
      <w:pPr>
        <w:pStyle w:val="2"/>
        <w:rPr>
          <w:rFonts w:hint="eastAsia"/>
          <w:lang w:val="en-US" w:eastAsia="zh-CN"/>
        </w:rPr>
      </w:pPr>
    </w:p>
    <w:tbl>
      <w:tblPr>
        <w:tblStyle w:val="18"/>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2620"/>
        <w:gridCol w:w="2244"/>
        <w:gridCol w:w="43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02" w:hRule="exact"/>
          <w:jc w:val="center"/>
        </w:trPr>
        <w:tc>
          <w:tcPr>
            <w:tcW w:w="10560"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jc w:val="center"/>
        </w:trPr>
        <w:tc>
          <w:tcPr>
            <w:tcW w:w="10560"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b/>
                <w:bCs/>
                <w:i w:val="0"/>
                <w:color w:val="000000"/>
                <w:sz w:val="28"/>
                <w:szCs w:val="28"/>
                <w:u w:val="none"/>
                <w:lang w:val="en-US"/>
              </w:rPr>
            </w:pPr>
            <w:r>
              <w:rPr>
                <w:rFonts w:hint="default" w:ascii="Times New Roman" w:hAnsi="Times New Roman" w:eastAsia="宋体" w:cs="Times New Roman"/>
                <w:b/>
                <w:bCs/>
                <w:i w:val="0"/>
                <w:color w:val="000000"/>
                <w:kern w:val="0"/>
                <w:sz w:val="28"/>
                <w:szCs w:val="28"/>
                <w:u w:val="none"/>
                <w:lang w:val="en-US" w:eastAsia="zh-CN" w:bidi="ar"/>
              </w:rPr>
              <w:t>（202</w:t>
            </w:r>
            <w:r>
              <w:rPr>
                <w:rFonts w:hint="eastAsia" w:ascii="Times New Roman" w:hAnsi="Times New Roman" w:cs="Times New Roman"/>
                <w:b/>
                <w:bCs/>
                <w:i w:val="0"/>
                <w:color w:val="000000"/>
                <w:kern w:val="0"/>
                <w:sz w:val="28"/>
                <w:szCs w:val="28"/>
                <w:u w:val="none"/>
                <w:lang w:val="en-US" w:eastAsia="zh-CN" w:bidi="ar"/>
              </w:rPr>
              <w:t>4</w:t>
            </w:r>
            <w:r>
              <w:rPr>
                <w:rFonts w:hint="default" w:ascii="Times New Roman" w:hAnsi="Times New Roman" w:eastAsia="宋体" w:cs="Times New Roman"/>
                <w:b/>
                <w:bCs/>
                <w:i w:val="0"/>
                <w:color w:val="000000"/>
                <w:kern w:val="0"/>
                <w:sz w:val="28"/>
                <w:szCs w:val="28"/>
                <w:u w:val="none"/>
                <w:lang w:val="en-US" w:eastAsia="zh-CN" w:bidi="ar"/>
              </w:rPr>
              <w:t>年度）</w:t>
            </w:r>
            <w:r>
              <w:rPr>
                <w:rFonts w:hint="eastAsia" w:ascii="Times New Roman" w:hAnsi="Times New Roman" w:cs="Times New Roman"/>
                <w:b/>
                <w:bCs/>
                <w:i w:val="0"/>
                <w:color w:val="000000"/>
                <w:kern w:val="0"/>
                <w:sz w:val="28"/>
                <w:szCs w:val="28"/>
                <w:u w:val="none"/>
                <w:lang w:val="en-US" w:eastAsia="zh-CN" w:bidi="ar"/>
              </w:rPr>
              <w:t xml:space="preserve">                          </w:t>
            </w:r>
            <w:r>
              <w:rPr>
                <w:rFonts w:hint="default" w:ascii="Times New Roman" w:hAnsi="Times New Roman" w:eastAsia="宋体" w:cs="Times New Roman"/>
                <w:b/>
                <w:bCs/>
                <w:i w:val="0"/>
                <w:color w:val="000000"/>
                <w:kern w:val="0"/>
                <w:sz w:val="21"/>
                <w:szCs w:val="21"/>
                <w:u w:val="none"/>
                <w:lang w:val="en-US" w:eastAsia="zh-CN" w:bidi="ar"/>
              </w:rPr>
              <w:t>单位：万元</w:t>
            </w:r>
            <w:r>
              <w:rPr>
                <w:rFonts w:hint="eastAsia" w:ascii="Times New Roman" w:hAnsi="Times New Roman" w:cs="Times New Roman"/>
                <w:b/>
                <w:bCs/>
                <w:i w:val="0"/>
                <w:color w:val="000000"/>
                <w:kern w:val="0"/>
                <w:sz w:val="28"/>
                <w:szCs w:val="2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30" w:hRule="atLeast"/>
          <w:jc w:val="center"/>
        </w:trPr>
        <w:tc>
          <w:tcPr>
            <w:tcW w:w="39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color w:val="000000"/>
                <w:kern w:val="0"/>
                <w:sz w:val="24"/>
                <w:szCs w:val="24"/>
                <w:u w:val="none"/>
                <w:lang w:val="en-US" w:eastAsia="zh-CN" w:bidi="ar"/>
              </w:rPr>
              <w:t>部门名称</w:t>
            </w:r>
          </w:p>
        </w:tc>
        <w:tc>
          <w:tcPr>
            <w:tcW w:w="6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4"/>
                <w:szCs w:val="24"/>
                <w:u w:val="none"/>
                <w:lang w:val="en-US"/>
              </w:rPr>
            </w:pPr>
            <w:r>
              <w:rPr>
                <w:rFonts w:hint="eastAsia" w:ascii="仿宋_GB2312" w:hAnsi="仿宋_GB2312" w:eastAsia="仿宋_GB2312" w:cs="仿宋_GB2312"/>
                <w:b/>
                <w:bCs/>
                <w:i w:val="0"/>
                <w:color w:val="000000"/>
                <w:kern w:val="0"/>
                <w:sz w:val="24"/>
                <w:szCs w:val="24"/>
                <w:u w:val="none"/>
                <w:lang w:val="en-US" w:eastAsia="zh-CN" w:bidi="ar"/>
              </w:rPr>
              <w:t>阿坝州社会科学界联合会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90"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color w:val="000000"/>
                <w:kern w:val="0"/>
                <w:sz w:val="24"/>
                <w:szCs w:val="24"/>
                <w:u w:val="none"/>
                <w:lang w:val="en-US" w:eastAsia="zh-CN" w:bidi="ar"/>
              </w:rPr>
              <w:t>年度部门整体支出预算</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color w:val="000000"/>
                <w:kern w:val="0"/>
                <w:sz w:val="24"/>
                <w:szCs w:val="24"/>
                <w:u w:val="none"/>
                <w:lang w:val="en-US" w:eastAsia="zh-CN" w:bidi="ar"/>
              </w:rPr>
              <w:t>资金总额</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color w:val="000000"/>
                <w:kern w:val="0"/>
                <w:sz w:val="24"/>
                <w:szCs w:val="24"/>
                <w:u w:val="none"/>
                <w:lang w:val="en-US" w:eastAsia="zh-CN" w:bidi="ar"/>
              </w:rPr>
              <w:t>财政拨款</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_GB2312" w:hAnsi="仿宋_GB2312" w:eastAsia="仿宋_GB2312" w:cs="仿宋_GB2312"/>
                <w:b/>
                <w:bCs/>
                <w:i w:val="0"/>
                <w:color w:val="000000"/>
                <w:sz w:val="24"/>
                <w:szCs w:val="24"/>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8"/>
                <w:szCs w:val="28"/>
                <w:u w:val="none"/>
                <w:lang w:val="en-US"/>
              </w:rPr>
            </w:pPr>
            <w:r>
              <w:rPr>
                <w:rFonts w:hint="eastAsia" w:ascii="仿宋_GB2312" w:hAnsi="仿宋_GB2312" w:eastAsia="仿宋_GB2312" w:cs="仿宋_GB2312"/>
                <w:b/>
                <w:bCs/>
                <w:i w:val="0"/>
                <w:color w:val="000000"/>
                <w:kern w:val="0"/>
                <w:sz w:val="28"/>
                <w:szCs w:val="28"/>
                <w:u w:val="none"/>
                <w:lang w:val="en-US" w:eastAsia="zh-CN" w:bidi="ar"/>
              </w:rPr>
              <w:t>440</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8"/>
                <w:szCs w:val="28"/>
                <w:u w:val="none"/>
                <w:lang w:val="en-US"/>
              </w:rPr>
            </w:pPr>
            <w:r>
              <w:rPr>
                <w:rFonts w:hint="eastAsia" w:ascii="仿宋_GB2312" w:hAnsi="仿宋_GB2312" w:eastAsia="仿宋_GB2312" w:cs="仿宋_GB2312"/>
                <w:b/>
                <w:bCs/>
                <w:i w:val="0"/>
                <w:color w:val="000000"/>
                <w:kern w:val="0"/>
                <w:sz w:val="28"/>
                <w:szCs w:val="28"/>
                <w:u w:val="none"/>
                <w:lang w:val="en-US" w:eastAsia="zh-CN" w:bidi="ar"/>
              </w:rPr>
              <w:t>440</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1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目标</w:t>
            </w:r>
          </w:p>
        </w:tc>
        <w:tc>
          <w:tcPr>
            <w:tcW w:w="92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积极开展重大现实和学术问题研究，稳步推进年度任务的实施，如期完成2023年度立项课题结项和2024年度立项课题的推动实施工作以及年初制定的相关目标任务。基本满足本单位干部职工正常办公和生活秩序。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5"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任务</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任务名称</w:t>
            </w:r>
          </w:p>
        </w:tc>
        <w:tc>
          <w:tcPr>
            <w:tcW w:w="6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35"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宋体" w:hAnsi="宋体" w:eastAsia="宋体" w:cs="宋体"/>
                <w:i w:val="0"/>
                <w:color w:val="000000"/>
                <w:sz w:val="21"/>
                <w:szCs w:val="21"/>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1.坚持政治方向，抓实思想引领。</w:t>
            </w:r>
          </w:p>
        </w:tc>
        <w:tc>
          <w:tcPr>
            <w:tcW w:w="6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坚持把举旗帜、抓方向作为首要政治任务，团结引领全州社科界重点做好党的二十大精神、习近平总书记来川重要指示精神贯彻落实、省委十二党代会、州委历次全会精神的学习教育、宣传阐释。抓实州社科联学纪学法工作落实，坚持培育优秀社科人才，举办社科骨干培训班1期 50人。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3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宋体" w:hAnsi="宋体" w:eastAsia="宋体" w:cs="宋体"/>
                <w:i w:val="0"/>
                <w:color w:val="000000"/>
                <w:sz w:val="21"/>
                <w:szCs w:val="21"/>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2.坚持资政育人，抓实社科研究。</w:t>
            </w:r>
          </w:p>
        </w:tc>
        <w:tc>
          <w:tcPr>
            <w:tcW w:w="6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积极开展重大现实和学术问题研究，全力抓好2023年度立项课题结项和2024年度立项课题的推动实施工作，开展好课题研究，完成课题50项以上；做好阿坝史话系列丛书编创，组织协调好相关县（市）编创工作，讲好“阿坝故事”，编著出版社科丛书3部。积极编报《成果专报》3期以上、《年度社科成果汇编》1期，着力提高决策咨政效果，推动研究成果转化推介，使更多研究成果进入决策视野。加快推进社科阵地建设，加强对社科研究基地的指导和管理。办好《阿坝论坛》4期，促进成果转化和学术交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6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宋体" w:hAnsi="宋体" w:eastAsia="宋体" w:cs="宋体"/>
                <w:i w:val="0"/>
                <w:color w:val="000000"/>
                <w:sz w:val="21"/>
                <w:szCs w:val="21"/>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3.坚持面向群众，提升科普质量。</w:t>
            </w:r>
          </w:p>
        </w:tc>
        <w:tc>
          <w:tcPr>
            <w:tcW w:w="6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推动社科普及基地提质、升级，做好州级社科普及基地建设管理；针对群众关注的焦点问题，编印富有阿坝特色的社科普及读物；继续加强与报刊、电视、互联网等各类媒介的合作，积极创新载体与方法，扩大社科普及实效。依托“阿坝社科在线”网站和 “阿坝人文社科”微信公众号等平台，增强科普知识推介宣传的传播力和影响力。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45"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宋体" w:hAnsi="宋体" w:eastAsia="宋体" w:cs="宋体"/>
                <w:i w:val="0"/>
                <w:color w:val="000000"/>
                <w:sz w:val="21"/>
                <w:szCs w:val="21"/>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4.坚持联络沟通，提升管理水平。</w:t>
            </w:r>
          </w:p>
        </w:tc>
        <w:tc>
          <w:tcPr>
            <w:tcW w:w="6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加强对所属学术团体的指导，进一步提升学会管理的规范化水平。落实意识形态工作责任制，继续强化对所属社科讲坛、论坛、报告会等学术、科普阵地的导向管理。落实意识形态工作责任制，继续强化对所属社科讲坛、论坛、报告会等学术、科普阵地的导向管理。持续通过社科专家座谈会、《阿坝论坛》笔谈会、社科骨干培训会等方式加强同全州社科工作者的联络沟通；强化同党校、州内高校、科研机构等社科研究单位的联络合作，通过委托课题、合作研究等形式拓展社科工作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宋体" w:hAnsi="宋体" w:eastAsia="宋体" w:cs="宋体"/>
                <w:i w:val="0"/>
                <w:color w:val="000000"/>
                <w:sz w:val="21"/>
                <w:szCs w:val="21"/>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5.加强自身建设，提高管理水平。</w:t>
            </w:r>
          </w:p>
        </w:tc>
        <w:tc>
          <w:tcPr>
            <w:tcW w:w="6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推进主题教育持续深入落实，继续推动乡村振兴和“两联一进”群众工作全覆盖，深化“立足岗位做贡献”、“我为群众办实事”“学习身边榜样”三大主题活动，推进机关建设管理持续深入；深入推动巡察反馈问题整改落实，结合巡察问题整改，举一反三进一步全面强化制度建、完善，推进社科联机关规范管理；及时召开阿坝州社科联第四次代表大会，选举新一届社科联班子；把全面从严治党落到实处，不断提升党建工作水平。推进党风廉政建设，紧抓作风建设，健全完善内部管理制度，切实提升管理科学化水平。</w:t>
            </w:r>
          </w:p>
        </w:tc>
      </w:tr>
    </w:tbl>
    <w:tbl>
      <w:tblPr>
        <w:tblStyle w:val="18"/>
        <w:tblpPr w:leftFromText="180" w:rightFromText="180" w:vertAnchor="text" w:horzAnchor="page" w:tblpXSpec="center" w:tblpY="401"/>
        <w:tblOverlap w:val="never"/>
        <w:tblW w:w="105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1010"/>
        <w:gridCol w:w="2021"/>
        <w:gridCol w:w="3032"/>
        <w:gridCol w:w="1010"/>
        <w:gridCol w:w="1010"/>
        <w:gridCol w:w="1010"/>
        <w:gridCol w:w="7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jc w:val="center"/>
        </w:trPr>
        <w:tc>
          <w:tcPr>
            <w:tcW w:w="66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年度绩效指标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202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303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绩效指标性质</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绩效指标值</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绩效度量单位</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2021"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编报《年度社科成果汇编》</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期/年</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编著出版社科丛书</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出刊《阿坝论坛》</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册/期</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举办社科骨干培训班期数</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期/年</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社科骨干培训班培训人数</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人数</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编报《成果专报》</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期</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完成课题研究</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验收合格率</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完成时限</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2024年12月完成</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2021"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提升机构研究水平</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有效促进社科学术成果转化</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促进</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202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受益群体满意度</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2021"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经济成本指标</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出刊《阿坝论坛》工作经费成本</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万元</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jc w:val="center"/>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1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1"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举办社科骨干培训班成本</w:t>
            </w:r>
          </w:p>
        </w:tc>
        <w:tc>
          <w:tcPr>
            <w:tcW w:w="10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万元</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bl>
    <w:p>
      <w:pPr>
        <w:pStyle w:val="35"/>
        <w:adjustRightInd/>
        <w:spacing w:line="360" w:lineRule="auto"/>
        <w:ind w:firstLine="640" w:firstLineChars="200"/>
        <w:jc w:val="both"/>
        <w:rPr>
          <w:rFonts w:ascii="仿宋_GB2312" w:eastAsia="仿宋_GB2312" w:cs="仿宋_GB2312"/>
          <w:sz w:val="32"/>
          <w:szCs w:val="32"/>
        </w:rPr>
      </w:pPr>
    </w:p>
    <w:p>
      <w:pPr>
        <w:pStyle w:val="17"/>
        <w:spacing w:after="0" w:line="360" w:lineRule="auto"/>
        <w:ind w:left="0" w:leftChars="0" w:firstLine="0" w:firstLineChars="0"/>
        <w:sectPr>
          <w:footerReference r:id="rId10" w:type="default"/>
          <w:pgSz w:w="11906" w:h="16838"/>
          <w:pgMar w:top="1440" w:right="1800" w:bottom="1440" w:left="1800" w:header="0" w:footer="992" w:gutter="0"/>
          <w:pgNumType w:fmt="decimal"/>
          <w:cols w:space="720" w:num="1"/>
          <w:docGrid w:type="lines" w:linePitch="312" w:charSpace="0"/>
        </w:sectPr>
      </w:pPr>
      <w:bookmarkStart w:id="89" w:name="_Toc15377225"/>
      <w:bookmarkStart w:id="90" w:name="_Toc15396613"/>
    </w:p>
    <w:bookmarkEnd w:id="89"/>
    <w:bookmarkEnd w:id="90"/>
    <w:p>
      <w:pPr>
        <w:spacing w:line="240" w:lineRule="atLeast"/>
        <w:ind w:left="2420" w:hanging="2420" w:hangingChars="550"/>
        <w:jc w:val="both"/>
        <w:outlineLvl w:val="0"/>
        <w:rPr>
          <w:rFonts w:ascii="方正小标宋简体" w:eastAsia="方正小标宋简体" w:cs="方正小标宋简体"/>
          <w:kern w:val="44"/>
          <w:sz w:val="44"/>
          <w:szCs w:val="44"/>
        </w:rPr>
      </w:pPr>
      <w:bookmarkStart w:id="91" w:name="_Toc15377226"/>
    </w:p>
    <w:p>
      <w:pPr>
        <w:spacing w:line="600" w:lineRule="exact"/>
        <w:ind w:firstLine="800" w:firstLineChars="200"/>
        <w:jc w:val="left"/>
        <w:rPr>
          <w:rStyle w:val="22"/>
          <w:rFonts w:hint="eastAsia" w:ascii="仿宋_GB2312" w:hAnsi="仿宋_GB2312" w:eastAsia="仿宋_GB2312" w:cs="仿宋_GB2312"/>
          <w:b w:val="0"/>
          <w:bCs w:val="0"/>
          <w:sz w:val="40"/>
          <w:szCs w:val="40"/>
          <w:lang w:val="en-US"/>
        </w:rPr>
      </w:pPr>
    </w:p>
    <w:p>
      <w:pPr>
        <w:spacing w:line="600" w:lineRule="exact"/>
        <w:ind w:firstLine="800" w:firstLineChars="200"/>
        <w:jc w:val="left"/>
        <w:rPr>
          <w:rStyle w:val="22"/>
          <w:rFonts w:hint="eastAsia" w:ascii="仿宋_GB2312" w:hAnsi="仿宋_GB2312" w:eastAsia="仿宋_GB2312" w:cs="仿宋_GB2312"/>
          <w:b w:val="0"/>
          <w:bCs w:val="0"/>
          <w:sz w:val="40"/>
          <w:szCs w:val="40"/>
          <w:lang w:val="en-US"/>
        </w:rPr>
      </w:pPr>
    </w:p>
    <w:p>
      <w:pPr>
        <w:spacing w:line="600" w:lineRule="exact"/>
        <w:ind w:firstLine="720" w:firstLineChars="200"/>
        <w:jc w:val="left"/>
        <w:rPr>
          <w:rStyle w:val="22"/>
          <w:rFonts w:hint="eastAsia" w:ascii="微软雅黑" w:hAnsi="微软雅黑" w:eastAsia="微软雅黑" w:cs="微软雅黑"/>
          <w:b w:val="0"/>
          <w:bCs w:val="0"/>
          <w:sz w:val="36"/>
          <w:szCs w:val="36"/>
          <w:lang w:val="en-US"/>
        </w:rPr>
      </w:pPr>
      <w:r>
        <w:rPr>
          <w:rStyle w:val="22"/>
          <w:rFonts w:hint="eastAsia" w:ascii="微软雅黑" w:hAnsi="微软雅黑" w:eastAsia="微软雅黑" w:cs="微软雅黑"/>
          <w:b w:val="0"/>
          <w:bCs w:val="0"/>
          <w:sz w:val="36"/>
          <w:szCs w:val="36"/>
          <w:lang w:val="en-US"/>
        </w:rPr>
        <w:t>附件2</w:t>
      </w:r>
    </w:p>
    <w:p>
      <w:pPr>
        <w:widowControl/>
        <w:spacing w:line="480" w:lineRule="exact"/>
        <w:jc w:val="center"/>
        <w:rPr>
          <w:rFonts w:ascii="宋体" w:cs="宋体"/>
          <w:b/>
          <w:bCs/>
          <w:sz w:val="40"/>
          <w:szCs w:val="40"/>
        </w:rPr>
      </w:pPr>
    </w:p>
    <w:p>
      <w:pPr>
        <w:pStyle w:val="2"/>
        <w:rPr>
          <w:rFonts w:ascii="宋体" w:cs="宋体"/>
          <w:b/>
          <w:bCs/>
          <w:sz w:val="40"/>
          <w:szCs w:val="40"/>
        </w:rPr>
      </w:pPr>
    </w:p>
    <w:p/>
    <w:p>
      <w:pPr>
        <w:pStyle w:val="2"/>
      </w:pPr>
    </w:p>
    <w:p/>
    <w:p>
      <w:pPr>
        <w:pStyle w:val="6"/>
        <w:spacing w:before="93" w:beforeLines="0" w:line="360" w:lineRule="auto"/>
        <w:ind w:firstLine="5783" w:firstLineChars="1200"/>
        <w:jc w:val="both"/>
        <w:rPr>
          <w:rFonts w:hint="eastAsia"/>
          <w:b/>
          <w:bCs/>
          <w:sz w:val="48"/>
          <w:szCs w:val="48"/>
          <w:shd w:val="clear" w:color="auto" w:fill="FFFFFF"/>
        </w:rPr>
      </w:pPr>
      <w:r>
        <w:rPr>
          <w:rFonts w:hint="eastAsia"/>
          <w:b/>
          <w:bCs/>
          <w:sz w:val="48"/>
          <w:szCs w:val="48"/>
        </w:rPr>
        <w:t>202</w:t>
      </w:r>
      <w:r>
        <w:rPr>
          <w:rFonts w:hint="eastAsia"/>
          <w:b/>
          <w:bCs/>
          <w:sz w:val="48"/>
          <w:szCs w:val="48"/>
          <w:lang w:val="en-US" w:eastAsia="zh-CN"/>
        </w:rPr>
        <w:t>4</w:t>
      </w:r>
      <w:r>
        <w:rPr>
          <w:rFonts w:hint="eastAsia"/>
          <w:b/>
          <w:bCs/>
          <w:sz w:val="48"/>
          <w:szCs w:val="48"/>
        </w:rPr>
        <w:t>年度</w:t>
      </w:r>
      <w:r>
        <w:rPr>
          <w:rFonts w:hint="eastAsia"/>
          <w:b/>
          <w:bCs/>
          <w:sz w:val="48"/>
          <w:szCs w:val="48"/>
          <w:shd w:val="clear" w:color="auto" w:fill="FFFFFF"/>
        </w:rPr>
        <w:t>部门预算项目绩效目标自评表。</w:t>
      </w:r>
    </w:p>
    <w:p>
      <w:pPr>
        <w:pStyle w:val="6"/>
        <w:spacing w:before="93" w:beforeLines="0" w:line="360" w:lineRule="auto"/>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jc w:val="left"/>
        <w:rPr>
          <w:rFonts w:hint="eastAsia"/>
          <w:b/>
          <w:bCs/>
          <w:sz w:val="36"/>
          <w:szCs w:val="36"/>
          <w:shd w:val="clear" w:color="auto" w:fill="FFFFFF"/>
        </w:rPr>
      </w:pPr>
    </w:p>
    <w:p>
      <w:pPr>
        <w:pStyle w:val="6"/>
        <w:spacing w:before="93" w:beforeLines="0" w:line="360" w:lineRule="auto"/>
        <w:jc w:val="left"/>
        <w:rPr>
          <w:rFonts w:hint="eastAsia"/>
          <w:b/>
          <w:bCs/>
          <w:sz w:val="36"/>
          <w:szCs w:val="36"/>
          <w:shd w:val="clear" w:color="auto" w:fill="FFFFFF"/>
        </w:rPr>
      </w:pPr>
    </w:p>
    <w:p>
      <w:pPr>
        <w:pStyle w:val="6"/>
        <w:spacing w:before="93" w:beforeLines="0" w:line="360" w:lineRule="auto"/>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tbl>
      <w:tblPr>
        <w:tblStyle w:val="18"/>
        <w:tblW w:w="16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2729"/>
        <w:gridCol w:w="1775"/>
        <w:gridCol w:w="2925"/>
        <w:gridCol w:w="521"/>
        <w:gridCol w:w="1677"/>
        <w:gridCol w:w="810"/>
        <w:gridCol w:w="1091"/>
        <w:gridCol w:w="505"/>
        <w:gridCol w:w="45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69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51320023R000009914893-工资性支出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保障8名在职人员工资及时、足额发放，保障职工正常工作和生活。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根据人事核定的人员工资标准，每月通过财政授权支付方式，及时、足额发放工资。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102.11</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102.11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102.11</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102.11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134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根据人事核定的人员工资标准，每月通过财政授权支付方式，及时、足额发放工资。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9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7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ind w:firstLine="4337" w:firstLineChars="1200"/>
        <w:jc w:val="center"/>
        <w:rPr>
          <w:rFonts w:hint="eastAsia"/>
          <w:b/>
          <w:bCs/>
          <w:sz w:val="36"/>
          <w:szCs w:val="36"/>
          <w:shd w:val="clear" w:color="auto" w:fill="FFFFFF"/>
        </w:rPr>
      </w:pPr>
    </w:p>
    <w:p>
      <w:pPr>
        <w:pStyle w:val="6"/>
        <w:spacing w:before="93" w:beforeLines="0" w:line="360" w:lineRule="auto"/>
        <w:ind w:firstLine="4337" w:firstLineChars="1200"/>
        <w:jc w:val="center"/>
        <w:rPr>
          <w:rFonts w:hint="eastAsia"/>
          <w:b/>
          <w:bCs/>
          <w:sz w:val="36"/>
          <w:szCs w:val="36"/>
          <w:shd w:val="clear" w:color="auto" w:fill="FFFFFF"/>
        </w:rPr>
      </w:pPr>
    </w:p>
    <w:p>
      <w:pPr>
        <w:pStyle w:val="6"/>
        <w:spacing w:before="93" w:beforeLines="0" w:line="360" w:lineRule="auto"/>
        <w:ind w:firstLine="4337" w:firstLineChars="1200"/>
        <w:jc w:val="center"/>
        <w:rPr>
          <w:rFonts w:hint="eastAsia"/>
          <w:b/>
          <w:bCs/>
          <w:sz w:val="36"/>
          <w:szCs w:val="36"/>
          <w:shd w:val="clear" w:color="auto" w:fill="FFFFFF"/>
        </w:rPr>
      </w:pPr>
    </w:p>
    <w:p>
      <w:pPr>
        <w:pStyle w:val="6"/>
        <w:spacing w:before="93" w:beforeLines="0" w:line="360" w:lineRule="auto"/>
        <w:ind w:firstLine="4337" w:firstLineChars="1200"/>
        <w:jc w:val="center"/>
        <w:rPr>
          <w:rFonts w:hint="eastAsia"/>
          <w:b/>
          <w:bCs/>
          <w:sz w:val="36"/>
          <w:szCs w:val="36"/>
          <w:shd w:val="clear" w:color="auto" w:fill="FFFFFF"/>
        </w:rPr>
      </w:pPr>
    </w:p>
    <w:p>
      <w:pPr>
        <w:pStyle w:val="6"/>
        <w:spacing w:before="93" w:beforeLines="0" w:line="360" w:lineRule="auto"/>
        <w:ind w:firstLine="4337" w:firstLineChars="1200"/>
        <w:jc w:val="center"/>
        <w:rPr>
          <w:rFonts w:hint="eastAsia"/>
          <w:b/>
          <w:bCs/>
          <w:sz w:val="36"/>
          <w:szCs w:val="36"/>
          <w:shd w:val="clear" w:color="auto" w:fill="FFFFFF"/>
        </w:rPr>
      </w:pPr>
    </w:p>
    <w:p>
      <w:pPr>
        <w:pStyle w:val="6"/>
        <w:spacing w:before="93" w:beforeLines="0" w:line="360" w:lineRule="auto"/>
        <w:ind w:firstLine="4337" w:firstLineChars="1200"/>
        <w:jc w:val="center"/>
        <w:rPr>
          <w:rFonts w:hint="eastAsia"/>
          <w:b/>
          <w:bCs/>
          <w:sz w:val="36"/>
          <w:szCs w:val="36"/>
          <w:shd w:val="clear" w:color="auto" w:fill="FFFFFF"/>
        </w:rPr>
      </w:pPr>
    </w:p>
    <w:p>
      <w:pPr>
        <w:pStyle w:val="6"/>
        <w:spacing w:before="93" w:beforeLines="0" w:line="360" w:lineRule="auto"/>
        <w:ind w:firstLine="4337" w:firstLineChars="1200"/>
        <w:jc w:val="center"/>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tbl>
      <w:tblPr>
        <w:tblStyle w:val="18"/>
        <w:tblW w:w="16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2729"/>
        <w:gridCol w:w="1775"/>
        <w:gridCol w:w="2925"/>
        <w:gridCol w:w="521"/>
        <w:gridCol w:w="1677"/>
        <w:gridCol w:w="810"/>
        <w:gridCol w:w="1091"/>
        <w:gridCol w:w="505"/>
        <w:gridCol w:w="45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169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rPr>
              <w:t>51320023R000009915221-单位缴费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及时、足额缴纳单位8位在职职工与1位退休人员社会保险、职业年金、公积金；保障职工利益。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根据人事核定的缴纳标准，每月及时、足额缴纳职工社会保险、职业年金、公积金。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60.97</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67.63</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67.63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60.97</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67.63</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67.63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34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通过项目的实施，及时、足额缴纳了单位职工的各项社会保险、职业年金、保公积金。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9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7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4337" w:firstLineChars="1200"/>
        <w:jc w:val="left"/>
        <w:rPr>
          <w:rFonts w:hint="eastAsia"/>
          <w:b/>
          <w:bCs/>
          <w:sz w:val="36"/>
          <w:szCs w:val="36"/>
          <w:shd w:val="clear" w:color="auto" w:fill="FFFFFF"/>
        </w:rPr>
      </w:pPr>
    </w:p>
    <w:tbl>
      <w:tblPr>
        <w:tblStyle w:val="18"/>
        <w:tblW w:w="16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2729"/>
        <w:gridCol w:w="1775"/>
        <w:gridCol w:w="2925"/>
        <w:gridCol w:w="521"/>
        <w:gridCol w:w="1677"/>
        <w:gridCol w:w="810"/>
        <w:gridCol w:w="1091"/>
        <w:gridCol w:w="505"/>
        <w:gridCol w:w="45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69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51320023R000009915925-聘用人员经费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保障临聘人员工资与社会保险缴费。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根据人事与劳务派遣公司签订的合同，每月及时、足额发放临聘人员工资与缴纳社会保险缴费。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11.84</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11.84</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11.84</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11.84</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34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根据人事与劳务派遣公司签订的合同，及时、足额发放临聘人员工资与缴纳社会保险缴费。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9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7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ind w:firstLine="4337" w:firstLineChars="1200"/>
        <w:jc w:val="left"/>
        <w:rPr>
          <w:rFonts w:hint="eastAsia"/>
          <w:b/>
          <w:bCs/>
          <w:sz w:val="36"/>
          <w:szCs w:val="36"/>
          <w:shd w:val="clear" w:color="auto" w:fill="FFFFFF"/>
        </w:rPr>
      </w:pPr>
    </w:p>
    <w:p>
      <w:pPr>
        <w:pStyle w:val="6"/>
        <w:spacing w:before="93" w:beforeLines="0" w:line="360" w:lineRule="auto"/>
        <w:ind w:firstLine="640" w:firstLineChars="200"/>
        <w:rPr>
          <w:sz w:val="32"/>
          <w:szCs w:val="32"/>
          <w:shd w:val="clear" w:color="auto" w:fill="FFFFFF"/>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tbl>
      <w:tblPr>
        <w:tblStyle w:val="18"/>
        <w:tblW w:w="16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2729"/>
        <w:gridCol w:w="1775"/>
        <w:gridCol w:w="2925"/>
        <w:gridCol w:w="521"/>
        <w:gridCol w:w="1677"/>
        <w:gridCol w:w="810"/>
        <w:gridCol w:w="1091"/>
        <w:gridCol w:w="505"/>
        <w:gridCol w:w="45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69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51320024R000010654621-退休人员经费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及时、足额保证了单位离退休职工的公用经费，保障了退休职工的合法权益。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及时、足额保证了单位离退休职工的公用经费，保障了退休职工的合法权益。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34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及时、足额保证了单位离退休职工的公用经费与生活补助，保障了退休职工的合法权益。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9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7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tbl>
      <w:tblPr>
        <w:tblStyle w:val="18"/>
        <w:tblW w:w="16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2729"/>
        <w:gridCol w:w="1775"/>
        <w:gridCol w:w="2925"/>
        <w:gridCol w:w="521"/>
        <w:gridCol w:w="1677"/>
        <w:gridCol w:w="810"/>
        <w:gridCol w:w="1091"/>
        <w:gridCol w:w="505"/>
        <w:gridCol w:w="45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69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rPr>
              <w:t>51320023Y000009917272-日常公用经费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合理分配和使用公用经费能够优化经费使用结构，减少不必要的浪费，提高经费使用效率。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通过合理分配和管理定额公用经费，确保单位正常运行和工作顺利开展。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32.11</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37.76</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37.76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32.11</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37.76</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37.76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134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通过项目的实施，保障了单位的正常运转，提高了单位工作效率，规范了资金使用资金，实现了公用经费效益最大化。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预算编制准确性仍有提升的空间。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进一步建立健全预算编制基础数据收集和分析机制，制定科学合理的预算编制方法，借鉴先进地区和部门的优秀经验，结合已有的数据进行分析，提高预算编制科学性。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9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7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tbl>
      <w:tblPr>
        <w:tblStyle w:val="18"/>
        <w:tblW w:w="16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2729"/>
        <w:gridCol w:w="1775"/>
        <w:gridCol w:w="2925"/>
        <w:gridCol w:w="521"/>
        <w:gridCol w:w="1677"/>
        <w:gridCol w:w="810"/>
        <w:gridCol w:w="1091"/>
        <w:gridCol w:w="505"/>
        <w:gridCol w:w="45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69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51320024R000010655518-目标绩效奖（行政按月随工资发放70%部分）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保障8名在职人员工资及时、足额发放，保障职工正常工作和生活。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40.05</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39.77</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40.05</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39.77</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34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人员工资及时、足额发放，保障职工正常工作和生活。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9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7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tbl>
      <w:tblPr>
        <w:tblStyle w:val="18"/>
        <w:tblW w:w="16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2729"/>
        <w:gridCol w:w="1775"/>
        <w:gridCol w:w="2925"/>
        <w:gridCol w:w="521"/>
        <w:gridCol w:w="1677"/>
        <w:gridCol w:w="810"/>
        <w:gridCol w:w="1091"/>
        <w:gridCol w:w="505"/>
        <w:gridCol w:w="45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69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51320025R000012408768-年度考核奖（30%）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保障8名在职人员工资及时、足额发放，保障职工正常工作和生活。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2.04</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由财政追加年度考核预发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2.04</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34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人员工资及时、足额发放，保障职工正常工作和生活。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9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7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tbl>
      <w:tblPr>
        <w:tblStyle w:val="18"/>
        <w:tblW w:w="16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2729"/>
        <w:gridCol w:w="1775"/>
        <w:gridCol w:w="2925"/>
        <w:gridCol w:w="521"/>
        <w:gridCol w:w="1677"/>
        <w:gridCol w:w="810"/>
        <w:gridCol w:w="1091"/>
        <w:gridCol w:w="505"/>
        <w:gridCol w:w="45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69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51320023R000008958406-年度考核奖预发（30%）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7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保障8名在职人员工资及时、足额发放，保障职工正常工作和生活。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3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12.61</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工资正常调整，由财政追加不足部分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12</w:t>
            </w:r>
            <w:r>
              <w:rPr>
                <w:rFonts w:hint="eastAsia" w:ascii="宋体" w:hAnsi="宋体" w:cs="宋体"/>
                <w:i w:val="0"/>
                <w:iCs w:val="0"/>
                <w:color w:val="000000"/>
                <w:kern w:val="0"/>
                <w:sz w:val="18"/>
                <w:szCs w:val="18"/>
                <w:u w:val="none"/>
                <w:lang w:val="en-US" w:eastAsia="zh-CN" w:bidi="ar"/>
              </w:rPr>
              <w:t>.61</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12.</w:t>
            </w:r>
            <w:r>
              <w:rPr>
                <w:rFonts w:hint="eastAsia" w:ascii="宋体" w:hAnsi="宋体" w:cs="宋体"/>
                <w:i w:val="0"/>
                <w:iCs w:val="0"/>
                <w:color w:val="000000"/>
                <w:kern w:val="0"/>
                <w:sz w:val="18"/>
                <w:szCs w:val="18"/>
                <w:u w:val="none"/>
                <w:lang w:val="en-US" w:eastAsia="zh-CN" w:bidi="ar"/>
              </w:rPr>
              <w:t>61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34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在职人员工资及时、足额发放，保障职工正常工作和生活。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98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70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tbl>
      <w:tblPr>
        <w:tblStyle w:val="18"/>
        <w:tblW w:w="18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0"/>
        <w:gridCol w:w="2631"/>
        <w:gridCol w:w="2271"/>
        <w:gridCol w:w="2902"/>
        <w:gridCol w:w="665"/>
        <w:gridCol w:w="2151"/>
        <w:gridCol w:w="673"/>
        <w:gridCol w:w="1400"/>
        <w:gridCol w:w="646"/>
        <w:gridCol w:w="580"/>
        <w:gridCol w:w="3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jc w:val="center"/>
        </w:trPr>
        <w:tc>
          <w:tcPr>
            <w:tcW w:w="180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3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5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51320022T000000337501-《阿坝论坛》出刊工作经费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3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6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40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atLeast"/>
          <w:jc w:val="center"/>
        </w:trPr>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6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9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用于每年4期《阿坝论坛》内部刊物征稿、编辑、印刷等相关的办刊费用。</w:t>
            </w:r>
          </w:p>
        </w:tc>
        <w:tc>
          <w:tcPr>
            <w:tcW w:w="59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完成全年4期印发目标，并及时支付相关稿费、印刷费。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5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征集稿件，刊印2024年度《阿坝论坛》4期，支付相关稿费、印刷费。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3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3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2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全年出刊量</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册</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全年出刊期数</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及时出刊率</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通过刊物发行促进社科工作者交流，促进资政作用发挥</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有效促进社科工作者交流和资政作用的发挥</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阅读人群满意度</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《阿坝论坛》出刊工作经费成本</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56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721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完成全年4期印发目标，并及时支付相关稿费、印刷费。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721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jc w:val="center"/>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721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933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项目负责人：缪鹏</w:t>
            </w:r>
          </w:p>
        </w:tc>
        <w:tc>
          <w:tcPr>
            <w:tcW w:w="87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tbl>
      <w:tblPr>
        <w:tblStyle w:val="18"/>
        <w:tblW w:w="17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2"/>
        <w:gridCol w:w="2573"/>
        <w:gridCol w:w="2221"/>
        <w:gridCol w:w="2840"/>
        <w:gridCol w:w="652"/>
        <w:gridCol w:w="2105"/>
        <w:gridCol w:w="653"/>
        <w:gridCol w:w="1370"/>
        <w:gridCol w:w="634"/>
        <w:gridCol w:w="568"/>
        <w:gridCol w:w="3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176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2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51320022T000000337500-社科培训工作经费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3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4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37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4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4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主要用于社科研究培训、社科科普培训、对基层社科工作者与州社科联工作人员的知识和业务培训等，提高基层社科工作者与州社科联工作人员的知识和业务水平。</w:t>
            </w:r>
          </w:p>
        </w:tc>
        <w:tc>
          <w:tcPr>
            <w:tcW w:w="5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完成全年4期印发目标，并及时支付相关稿费、印刷费。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2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召开专题社科骨干培训班，对全州社科界骨干50人进行培训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4.90</w:t>
            </w:r>
          </w:p>
        </w:tc>
        <w:tc>
          <w:tcPr>
            <w:tcW w:w="3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4.90</w:t>
            </w:r>
          </w:p>
        </w:tc>
        <w:tc>
          <w:tcPr>
            <w:tcW w:w="3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培训人数</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组织开展社科业务培训次数</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次/年</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培训完成时间</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进一步增强社科工作者业务素质</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有效提升工作人员素质</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参训人员满意度</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培训工作经费成本</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2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8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召开专题社科骨干培训班，对全州社科界骨干50人进行培训。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8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8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1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项目负责人：张丽丽</w:t>
            </w:r>
          </w:p>
        </w:tc>
        <w:tc>
          <w:tcPr>
            <w:tcW w:w="85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p>
      <w:pPr>
        <w:pStyle w:val="6"/>
        <w:spacing w:before="93" w:beforeLines="0" w:line="360" w:lineRule="auto"/>
        <w:rPr>
          <w:sz w:val="32"/>
          <w:szCs w:val="32"/>
        </w:rPr>
      </w:pPr>
    </w:p>
    <w:tbl>
      <w:tblPr>
        <w:tblStyle w:val="18"/>
        <w:tblW w:w="17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6"/>
        <w:gridCol w:w="2497"/>
        <w:gridCol w:w="2155"/>
        <w:gridCol w:w="2754"/>
        <w:gridCol w:w="630"/>
        <w:gridCol w:w="2042"/>
        <w:gridCol w:w="639"/>
        <w:gridCol w:w="1328"/>
        <w:gridCol w:w="613"/>
        <w:gridCol w:w="549"/>
        <w:gridCol w:w="3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jc w:val="center"/>
        </w:trPr>
        <w:tc>
          <w:tcPr>
            <w:tcW w:w="171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 w:hRule="atLeast"/>
          <w:jc w:val="center"/>
        </w:trPr>
        <w:tc>
          <w:tcPr>
            <w:tcW w:w="33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38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51320022T000000337502-社科研究普及工作经费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33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2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328"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2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 w:hRule="atLeast"/>
          <w:jc w:val="center"/>
        </w:trPr>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2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6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2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特色研究和学术活动；社科普及工作，知道社科普及和人文社科讲坛工作的开展，科普三下乡活动；结合我州经济社会发展的实际，适时开展学术研讨会；社科成果转化的管理，编辑印刷年度《社科成果选编》刊物。</w:t>
            </w:r>
          </w:p>
        </w:tc>
        <w:tc>
          <w:tcPr>
            <w:tcW w:w="56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组织开展社科活动月科普活动、深入基层开展“三下乡”活动，印刷年度《社科成果选编》。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8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组织开展社科活动月科普活动、深入基层开展“三下乡”活动，印刷年度《社科成果选编》。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7.99</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7.99</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7.99</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7.99</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开展学术研讨会次数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编辑印刷年度《社科成果选编》刊数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结合社科工作全年组织开展社科普及研究相关活动次数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出刊规范率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促进社科工作深入基层，提升人文素养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有效提升人文素养</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受益群体满意度</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社科研究普及工作经费成本</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jc w:val="center"/>
        </w:trPr>
        <w:tc>
          <w:tcPr>
            <w:tcW w:w="1287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3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组织开展社科活动月科普活动、深入基层开展“三下乡”活动，印刷年度《社科成果选编》。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3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支付进度较慢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3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加快支付进度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jc w:val="center"/>
        </w:trPr>
        <w:tc>
          <w:tcPr>
            <w:tcW w:w="8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项目负责人：张丽丽</w:t>
            </w:r>
          </w:p>
        </w:tc>
        <w:tc>
          <w:tcPr>
            <w:tcW w:w="82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sz w:val="32"/>
          <w:szCs w:val="32"/>
        </w:rPr>
      </w:pPr>
    </w:p>
    <w:tbl>
      <w:tblPr>
        <w:tblStyle w:val="18"/>
        <w:tblW w:w="164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2392"/>
        <w:gridCol w:w="2065"/>
        <w:gridCol w:w="2640"/>
        <w:gridCol w:w="606"/>
        <w:gridCol w:w="1956"/>
        <w:gridCol w:w="609"/>
        <w:gridCol w:w="1273"/>
        <w:gridCol w:w="589"/>
        <w:gridCol w:w="527"/>
        <w:gridCol w:w="2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jc w:val="center"/>
        </w:trPr>
        <w:tc>
          <w:tcPr>
            <w:tcW w:w="164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31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325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51320022T000000337504-社科资金项目管理费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31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273"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8"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用于组织开展年度州社科资金项目课题的立项、结项专家评审鉴定工作，支付评审鉴定费</w:t>
            </w:r>
          </w:p>
        </w:tc>
        <w:tc>
          <w:tcPr>
            <w:tcW w:w="5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及时组织开展2023年度课题结项和2024年度课题立项评审工作，并全部完成。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25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开展年度州社科资金项目课题的立项、结项专家评审鉴定工作，支付评审鉴定费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1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1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1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1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1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1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8" w:hRule="atLeast"/>
          <w:jc w:val="center"/>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社科资金项目课题评审完成率</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州社科资金项目课题鉴定数量</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评审、鉴定工作规范率</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评审工作项目完成及时率</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提升社科项目资政作用</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社科资金项目管理成本</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1233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及时组织开展2023年度课题结项和2024年度课题立项评审工作，并全部完成。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jc w:val="center"/>
        </w:trPr>
        <w:tc>
          <w:tcPr>
            <w:tcW w:w="84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项目负责人：董泽友</w:t>
            </w:r>
          </w:p>
        </w:tc>
        <w:tc>
          <w:tcPr>
            <w:tcW w:w="79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tbl>
      <w:tblPr>
        <w:tblStyle w:val="18"/>
        <w:tblW w:w="172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3"/>
        <w:gridCol w:w="2515"/>
        <w:gridCol w:w="2171"/>
        <w:gridCol w:w="2775"/>
        <w:gridCol w:w="637"/>
        <w:gridCol w:w="2057"/>
        <w:gridCol w:w="639"/>
        <w:gridCol w:w="1339"/>
        <w:gridCol w:w="620"/>
        <w:gridCol w:w="555"/>
        <w:gridCol w:w="31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jc w:val="center"/>
        </w:trPr>
        <w:tc>
          <w:tcPr>
            <w:tcW w:w="172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393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51320022T000000337498-网络运行维护及网络宣传费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339"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3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6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为阿坝社科在线网站维护运行、升级和相关社科工作网络应用的开发、使用提供保障。完成州社科联档案工作电子化。</w:t>
            </w:r>
          </w:p>
        </w:tc>
        <w:tc>
          <w:tcPr>
            <w:tcW w:w="56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对阿坝社科在线网站进行日常维护、对州社科联档案进行电子化整理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93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对阿坝社科在线网站进行日常维护、对州社科联档案进行电子化整理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jc w:val="center"/>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网络宣传次数</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次/年</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网站运行维护次数</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次/年</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在线网站网络运行通畅率</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网站正常使用年限</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受众群体满意度</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129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年初预算5万元，已使用5万元，使用率100%。资金主要用于州社科联网站运行维护、线上科普活动相关费用支出,项目达到了预期效果。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89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83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tbl>
      <w:tblPr>
        <w:tblStyle w:val="18"/>
        <w:tblW w:w="17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4"/>
        <w:gridCol w:w="2582"/>
        <w:gridCol w:w="2229"/>
        <w:gridCol w:w="2849"/>
        <w:gridCol w:w="653"/>
        <w:gridCol w:w="2111"/>
        <w:gridCol w:w="657"/>
        <w:gridCol w:w="1374"/>
        <w:gridCol w:w="636"/>
        <w:gridCol w:w="569"/>
        <w:gridCol w:w="32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3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3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51320024T000010374828-聘请法律、财务顾问与年度财务内审专项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3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37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4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聘请法律、财务顾问与年度财务内审专项</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聘请法律、财务顾问与年度财务内审专项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3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聘请法律、财务顾问与年度财务内审专项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3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3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7" w:hRule="atLeast"/>
          <w:jc w:val="center"/>
        </w:trPr>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财务收支内审次数</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法律、财务顾问咨询完成率</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出具财务、法律审查意见验收合格率</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推动单位内审质量提升</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提升内审质量</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降低涉法涉诉风险</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降低涉诉风险</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单位工作人员满意度</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年度财务内审成本</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聘请法律、财务顾问金额</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jc w:val="center"/>
        </w:trPr>
        <w:tc>
          <w:tcPr>
            <w:tcW w:w="1330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8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b w:val="0"/>
                <w:bCs w:val="0"/>
                <w:i w:val="0"/>
                <w:iCs w:val="0"/>
                <w:color w:val="000000"/>
                <w:kern w:val="0"/>
                <w:sz w:val="18"/>
                <w:szCs w:val="18"/>
                <w:u w:val="none"/>
                <w:lang w:val="en-US" w:eastAsia="zh-CN" w:bidi="ar"/>
              </w:rPr>
              <w:t>及时出具财务、法律审查意见，降低单位涉法涉诉风险。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8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8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9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857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tbl>
      <w:tblPr>
        <w:tblStyle w:val="18"/>
        <w:tblW w:w="17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8"/>
        <w:gridCol w:w="2474"/>
        <w:gridCol w:w="2134"/>
        <w:gridCol w:w="2728"/>
        <w:gridCol w:w="625"/>
        <w:gridCol w:w="2021"/>
        <w:gridCol w:w="634"/>
        <w:gridCol w:w="1316"/>
        <w:gridCol w:w="607"/>
        <w:gridCol w:w="544"/>
        <w:gridCol w:w="3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jc w:val="center"/>
        </w:trPr>
        <w:tc>
          <w:tcPr>
            <w:tcW w:w="17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3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37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51320025T000012249694-社会科学事业专项资金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jc w:val="center"/>
        </w:trPr>
        <w:tc>
          <w:tcPr>
            <w:tcW w:w="3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1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31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2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1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56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2023-2024年度州本级财政预算安排社会科学事业专项资金100万用于资助州社科专项资金项目结项课题</w:t>
            </w:r>
          </w:p>
        </w:tc>
        <w:tc>
          <w:tcPr>
            <w:tcW w:w="556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2023-2024年度州本级财政预算安排社会科学事业专项资金100万用于资助州社科专项资金项目结项课题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7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根据调研报告、论文项目完成100万资助经费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jc w:val="center"/>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2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2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2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2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jc w:val="center"/>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资助调研报告、论文项目</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资助专著项目</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资助项目验收合格率</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注重理论和实践问题的研究，强化创新意识，提高项目研究成果价值，促进社会科学发展</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促进理论创新、社会科学发展</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受众群体满意度</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资助总成本</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1275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09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2023-2024年度州本级财政预算安排社会科学事业专项资金100万用于资助州社科专项资金项目结项课题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87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项目负责人：张丽丽</w:t>
            </w:r>
          </w:p>
        </w:tc>
        <w:tc>
          <w:tcPr>
            <w:tcW w:w="82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sz w:val="32"/>
          <w:szCs w:val="32"/>
        </w:rPr>
      </w:pPr>
    </w:p>
    <w:tbl>
      <w:tblPr>
        <w:tblStyle w:val="18"/>
        <w:tblW w:w="17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5"/>
        <w:gridCol w:w="2553"/>
        <w:gridCol w:w="2204"/>
        <w:gridCol w:w="2817"/>
        <w:gridCol w:w="646"/>
        <w:gridCol w:w="2088"/>
        <w:gridCol w:w="649"/>
        <w:gridCol w:w="1359"/>
        <w:gridCol w:w="629"/>
        <w:gridCol w:w="563"/>
        <w:gridCol w:w="3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9" w:hRule="atLeast"/>
          <w:jc w:val="center"/>
        </w:trPr>
        <w:tc>
          <w:tcPr>
            <w:tcW w:w="17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jc w:val="center"/>
        </w:trPr>
        <w:tc>
          <w:tcPr>
            <w:tcW w:w="33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51320025T000012523948-建设民族地区高质量发展阿坝典范应用对策研究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33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84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州社科联部门</w:t>
            </w:r>
          </w:p>
        </w:tc>
        <w:tc>
          <w:tcPr>
            <w:tcW w:w="1359"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3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州社科联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jc w:val="center"/>
        </w:trPr>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84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7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开展建设民族地区高质量发展阿坝典范应用对策研究，为州委州政府决策提供决策咨询。</w:t>
            </w:r>
          </w:p>
        </w:tc>
        <w:tc>
          <w:tcPr>
            <w:tcW w:w="57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开展建设民族地区高质量发展阿坝典范应用对策研究，为州委州政府决策提供决策咨询。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开展建设民族地区高质量发展阿坝典范应用对策研究，为州委州政府决策提供决策咨询。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29.00</w:t>
            </w:r>
          </w:p>
        </w:tc>
        <w:tc>
          <w:tcPr>
            <w:tcW w:w="33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29.00</w:t>
            </w:r>
          </w:p>
        </w:tc>
        <w:tc>
          <w:tcPr>
            <w:tcW w:w="33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3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5" w:hRule="atLeast"/>
          <w:jc w:val="center"/>
        </w:trPr>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形成一篇课题研究报告</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为州委州政府决策提供咨询</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在规定的时间内完成研究</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为州委州政府决策提供决策咨询。</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课题研究成果能对部分决策提供佐证</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达到决策咨询的作用</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在规定的预算范围内实施</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jc w:val="center"/>
        </w:trPr>
        <w:tc>
          <w:tcPr>
            <w:tcW w:w="13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6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开展建设民族地区高质量发展阿坝典范应用对策研究，为州委州政府决策提供决策咨询。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6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6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0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项目负责人：杨云建</w:t>
            </w:r>
          </w:p>
        </w:tc>
        <w:tc>
          <w:tcPr>
            <w:tcW w:w="8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财务负责人：泽朗</w:t>
            </w:r>
          </w:p>
        </w:tc>
      </w:tr>
    </w:tbl>
    <w:p>
      <w:pPr>
        <w:pStyle w:val="6"/>
        <w:spacing w:before="93" w:beforeLines="0" w:line="360" w:lineRule="auto"/>
        <w:rPr>
          <w:sz w:val="32"/>
          <w:szCs w:val="32"/>
        </w:rPr>
      </w:pPr>
    </w:p>
    <w:p>
      <w:pPr>
        <w:pStyle w:val="6"/>
        <w:spacing w:before="93" w:beforeLines="0" w:line="360" w:lineRule="auto"/>
        <w:rPr>
          <w:rFonts w:hint="eastAsia" w:eastAsia="仿宋_GB2312"/>
          <w:sz w:val="32"/>
          <w:szCs w:val="32"/>
          <w:lang w:eastAsia="zh-CN"/>
        </w:rPr>
        <w:sectPr>
          <w:pgSz w:w="23811" w:h="16838" w:orient="landscape"/>
          <w:pgMar w:top="556" w:right="1440" w:bottom="556" w:left="1440" w:header="0" w:footer="992" w:gutter="0"/>
          <w:pgNumType w:fmt="decimal"/>
          <w:cols w:space="720" w:num="1"/>
          <w:docGrid w:type="lines" w:linePitch="312" w:charSpace="0"/>
        </w:sectPr>
      </w:pPr>
    </w:p>
    <w:p>
      <w:pPr>
        <w:pStyle w:val="3"/>
        <w:jc w:val="center"/>
        <w:rPr>
          <w:rFonts w:ascii="方正小标宋简体" w:eastAsia="方正小标宋简体" w:cs="方正小标宋简体"/>
          <w:b w:val="0"/>
          <w:bCs w:val="0"/>
        </w:rPr>
      </w:pPr>
      <w:bookmarkStart w:id="92" w:name="_Toc15396618"/>
      <w:bookmarkStart w:id="93" w:name="_Toc83062194"/>
      <w:bookmarkStart w:id="94" w:name="_Toc28082"/>
      <w:r>
        <w:rPr>
          <w:rFonts w:hint="eastAsia" w:ascii="方正小标宋简体" w:eastAsia="方正小标宋简体" w:cs="方正小标宋简体"/>
          <w:b w:val="0"/>
          <w:bCs w:val="0"/>
        </w:rPr>
        <w:t>第五部分 附表</w:t>
      </w:r>
      <w:bookmarkEnd w:id="92"/>
      <w:bookmarkEnd w:id="93"/>
      <w:bookmarkEnd w:id="94"/>
    </w:p>
    <w:p>
      <w:pPr>
        <w:pStyle w:val="4"/>
        <w:keepNext w:val="0"/>
        <w:keepLines w:val="0"/>
        <w:widowControl/>
        <w:spacing w:before="0"/>
        <w:jc w:val="left"/>
        <w:rPr>
          <w:rFonts w:ascii="黑体" w:eastAsia="黑体" w:cs="黑体"/>
          <w:b w:val="0"/>
          <w:bCs w:val="0"/>
          <w:kern w:val="0"/>
        </w:rPr>
      </w:pPr>
      <w:bookmarkStart w:id="95" w:name="_Toc194"/>
      <w:r>
        <w:rPr>
          <w:rFonts w:hint="eastAsia" w:ascii="黑体" w:eastAsia="黑体" w:cs="黑体"/>
          <w:b w:val="0"/>
          <w:bCs w:val="0"/>
          <w:kern w:val="0"/>
          <w:shd w:val="clear" w:color="auto" w:fill="FFFFFF"/>
        </w:rPr>
        <w:t>一、收入支出决算总表</w:t>
      </w:r>
      <w:bookmarkEnd w:id="95"/>
    </w:p>
    <w:p>
      <w:pPr>
        <w:pStyle w:val="4"/>
        <w:keepNext w:val="0"/>
        <w:keepLines w:val="0"/>
        <w:widowControl/>
        <w:spacing w:before="0"/>
        <w:jc w:val="left"/>
        <w:rPr>
          <w:rFonts w:ascii="黑体" w:eastAsia="黑体" w:cs="黑体"/>
          <w:b w:val="0"/>
          <w:bCs w:val="0"/>
          <w:kern w:val="0"/>
        </w:rPr>
      </w:pPr>
      <w:bookmarkStart w:id="96" w:name="_Toc22630"/>
      <w:r>
        <w:rPr>
          <w:rFonts w:hint="eastAsia" w:ascii="黑体" w:eastAsia="黑体" w:cs="黑体"/>
          <w:b w:val="0"/>
          <w:bCs w:val="0"/>
          <w:kern w:val="0"/>
          <w:shd w:val="clear" w:color="auto" w:fill="FFFFFF"/>
        </w:rPr>
        <w:t>二、收入决算表</w:t>
      </w:r>
      <w:bookmarkEnd w:id="96"/>
    </w:p>
    <w:p>
      <w:pPr>
        <w:pStyle w:val="4"/>
        <w:keepNext w:val="0"/>
        <w:keepLines w:val="0"/>
        <w:widowControl/>
        <w:spacing w:before="0"/>
        <w:jc w:val="left"/>
        <w:rPr>
          <w:rFonts w:ascii="黑体" w:eastAsia="黑体" w:cs="黑体"/>
          <w:b w:val="0"/>
          <w:bCs w:val="0"/>
          <w:kern w:val="0"/>
        </w:rPr>
      </w:pPr>
      <w:bookmarkStart w:id="97" w:name="_Toc25714"/>
      <w:r>
        <w:rPr>
          <w:rFonts w:hint="eastAsia" w:ascii="黑体" w:eastAsia="黑体" w:cs="黑体"/>
          <w:b w:val="0"/>
          <w:bCs w:val="0"/>
          <w:kern w:val="0"/>
          <w:shd w:val="clear" w:color="auto" w:fill="FFFFFF"/>
        </w:rPr>
        <w:t>三、支出决算表</w:t>
      </w:r>
      <w:bookmarkEnd w:id="97"/>
    </w:p>
    <w:p>
      <w:pPr>
        <w:pStyle w:val="4"/>
        <w:keepNext w:val="0"/>
        <w:keepLines w:val="0"/>
        <w:widowControl/>
        <w:spacing w:before="0"/>
        <w:jc w:val="left"/>
        <w:rPr>
          <w:rFonts w:ascii="黑体" w:eastAsia="黑体" w:cs="黑体"/>
          <w:b w:val="0"/>
          <w:bCs w:val="0"/>
          <w:kern w:val="0"/>
        </w:rPr>
      </w:pPr>
      <w:bookmarkStart w:id="98" w:name="_Toc30486"/>
      <w:r>
        <w:rPr>
          <w:rFonts w:hint="eastAsia" w:ascii="黑体" w:eastAsia="黑体" w:cs="黑体"/>
          <w:b w:val="0"/>
          <w:bCs w:val="0"/>
          <w:kern w:val="0"/>
          <w:shd w:val="clear" w:color="auto" w:fill="FFFFFF"/>
        </w:rPr>
        <w:t>四、财政拨款收入支出决算总表</w:t>
      </w:r>
      <w:bookmarkEnd w:id="98"/>
    </w:p>
    <w:p>
      <w:pPr>
        <w:pStyle w:val="4"/>
        <w:keepNext w:val="0"/>
        <w:keepLines w:val="0"/>
        <w:widowControl/>
        <w:spacing w:before="0"/>
        <w:jc w:val="left"/>
        <w:rPr>
          <w:rFonts w:ascii="黑体" w:eastAsia="黑体" w:cs="黑体"/>
          <w:b w:val="0"/>
          <w:bCs w:val="0"/>
          <w:kern w:val="0"/>
        </w:rPr>
      </w:pPr>
      <w:bookmarkStart w:id="99" w:name="_Toc3011"/>
      <w:r>
        <w:rPr>
          <w:rFonts w:hint="eastAsia" w:ascii="黑体" w:eastAsia="黑体" w:cs="黑体"/>
          <w:b w:val="0"/>
          <w:bCs w:val="0"/>
          <w:kern w:val="0"/>
          <w:shd w:val="clear" w:color="auto" w:fill="FFFFFF"/>
        </w:rPr>
        <w:t>五、财政拨款支出决算明细表</w:t>
      </w:r>
      <w:bookmarkEnd w:id="99"/>
    </w:p>
    <w:p>
      <w:pPr>
        <w:pStyle w:val="4"/>
        <w:keepNext w:val="0"/>
        <w:keepLines w:val="0"/>
        <w:widowControl/>
        <w:spacing w:before="0"/>
        <w:jc w:val="left"/>
        <w:rPr>
          <w:rFonts w:ascii="黑体" w:eastAsia="黑体" w:cs="黑体"/>
          <w:b w:val="0"/>
          <w:bCs w:val="0"/>
          <w:kern w:val="0"/>
        </w:rPr>
      </w:pPr>
      <w:bookmarkStart w:id="100" w:name="_Toc21793"/>
      <w:r>
        <w:rPr>
          <w:rFonts w:hint="eastAsia" w:ascii="黑体" w:eastAsia="黑体" w:cs="黑体"/>
          <w:b w:val="0"/>
          <w:bCs w:val="0"/>
          <w:kern w:val="0"/>
          <w:shd w:val="clear" w:color="auto" w:fill="FFFFFF"/>
        </w:rPr>
        <w:t>六、一般公共预算财政拨款支出决算表</w:t>
      </w:r>
      <w:bookmarkEnd w:id="100"/>
    </w:p>
    <w:p>
      <w:pPr>
        <w:pStyle w:val="4"/>
        <w:keepNext w:val="0"/>
        <w:keepLines w:val="0"/>
        <w:widowControl/>
        <w:spacing w:before="0"/>
        <w:jc w:val="left"/>
        <w:rPr>
          <w:rFonts w:ascii="黑体" w:eastAsia="黑体" w:cs="黑体"/>
          <w:b w:val="0"/>
          <w:bCs w:val="0"/>
          <w:kern w:val="0"/>
        </w:rPr>
      </w:pPr>
      <w:bookmarkStart w:id="101" w:name="_Toc23372"/>
      <w:r>
        <w:rPr>
          <w:rFonts w:hint="eastAsia" w:ascii="黑体" w:eastAsia="黑体" w:cs="黑体"/>
          <w:b w:val="0"/>
          <w:bCs w:val="0"/>
          <w:kern w:val="0"/>
          <w:shd w:val="clear" w:color="auto" w:fill="FFFFFF"/>
        </w:rPr>
        <w:t>七、一般公共预算财政拨款支出决算明细表</w:t>
      </w:r>
      <w:bookmarkEnd w:id="101"/>
    </w:p>
    <w:p>
      <w:pPr>
        <w:pStyle w:val="4"/>
        <w:keepNext w:val="0"/>
        <w:keepLines w:val="0"/>
        <w:widowControl/>
        <w:spacing w:before="0"/>
        <w:jc w:val="left"/>
        <w:rPr>
          <w:rFonts w:ascii="黑体" w:eastAsia="黑体" w:cs="黑体"/>
          <w:b w:val="0"/>
          <w:bCs w:val="0"/>
          <w:kern w:val="0"/>
        </w:rPr>
      </w:pPr>
      <w:bookmarkStart w:id="102" w:name="_Toc30888"/>
      <w:r>
        <w:rPr>
          <w:rFonts w:hint="eastAsia" w:ascii="黑体" w:eastAsia="黑体" w:cs="黑体"/>
          <w:b w:val="0"/>
          <w:bCs w:val="0"/>
          <w:kern w:val="0"/>
          <w:shd w:val="clear" w:color="auto" w:fill="FFFFFF"/>
        </w:rPr>
        <w:t>八、一般公共预算财政拨款基本支出决算表</w:t>
      </w:r>
      <w:bookmarkEnd w:id="102"/>
    </w:p>
    <w:p>
      <w:pPr>
        <w:pStyle w:val="4"/>
        <w:keepNext w:val="0"/>
        <w:keepLines w:val="0"/>
        <w:widowControl/>
        <w:spacing w:before="0"/>
        <w:jc w:val="left"/>
        <w:rPr>
          <w:rFonts w:ascii="黑体" w:eastAsia="黑体" w:cs="黑体"/>
          <w:b w:val="0"/>
          <w:bCs w:val="0"/>
          <w:kern w:val="0"/>
        </w:rPr>
      </w:pPr>
      <w:bookmarkStart w:id="103" w:name="_Toc19690"/>
      <w:r>
        <w:rPr>
          <w:rFonts w:hint="eastAsia" w:ascii="黑体" w:eastAsia="黑体" w:cs="黑体"/>
          <w:b w:val="0"/>
          <w:bCs w:val="0"/>
          <w:kern w:val="0"/>
          <w:shd w:val="clear" w:color="auto" w:fill="FFFFFF"/>
        </w:rPr>
        <w:t>九、一般公共预算财政拨款项目支出决算表</w:t>
      </w:r>
      <w:bookmarkEnd w:id="103"/>
    </w:p>
    <w:p>
      <w:pPr>
        <w:pStyle w:val="4"/>
        <w:keepNext w:val="0"/>
        <w:keepLines w:val="0"/>
        <w:widowControl/>
        <w:spacing w:before="0"/>
        <w:jc w:val="left"/>
        <w:rPr>
          <w:rFonts w:ascii="黑体" w:eastAsia="黑体" w:cs="黑体"/>
          <w:b w:val="0"/>
          <w:bCs w:val="0"/>
          <w:kern w:val="0"/>
        </w:rPr>
      </w:pPr>
      <w:bookmarkStart w:id="104" w:name="_Toc22355"/>
      <w:r>
        <w:rPr>
          <w:rFonts w:hint="eastAsia" w:ascii="黑体" w:eastAsia="黑体" w:cs="黑体"/>
          <w:b w:val="0"/>
          <w:bCs w:val="0"/>
          <w:kern w:val="0"/>
          <w:shd w:val="clear" w:color="auto" w:fill="FFFFFF"/>
        </w:rPr>
        <w:t>十、政府性基金预算财政拨款收入支出决算表</w:t>
      </w:r>
      <w:bookmarkEnd w:id="104"/>
    </w:p>
    <w:p>
      <w:pPr>
        <w:pStyle w:val="4"/>
        <w:keepNext w:val="0"/>
        <w:keepLines w:val="0"/>
        <w:widowControl/>
        <w:spacing w:before="0"/>
        <w:jc w:val="left"/>
        <w:rPr>
          <w:rFonts w:ascii="黑体" w:eastAsia="黑体" w:cs="黑体"/>
          <w:b w:val="0"/>
          <w:bCs w:val="0"/>
          <w:kern w:val="0"/>
        </w:rPr>
      </w:pPr>
      <w:bookmarkStart w:id="105" w:name="_Toc15864"/>
      <w:r>
        <w:rPr>
          <w:rFonts w:hint="eastAsia" w:ascii="黑体" w:eastAsia="黑体" w:cs="黑体"/>
          <w:b w:val="0"/>
          <w:bCs w:val="0"/>
          <w:kern w:val="0"/>
          <w:shd w:val="clear" w:color="auto" w:fill="FFFFFF"/>
        </w:rPr>
        <w:t>十一、国有资本经营预算财政拨款收入支出决算表</w:t>
      </w:r>
      <w:bookmarkEnd w:id="105"/>
    </w:p>
    <w:p>
      <w:pPr>
        <w:pStyle w:val="4"/>
        <w:keepNext w:val="0"/>
        <w:keepLines w:val="0"/>
        <w:widowControl/>
        <w:spacing w:before="0"/>
        <w:jc w:val="left"/>
        <w:rPr>
          <w:rFonts w:ascii="黑体" w:eastAsia="黑体" w:cs="黑体"/>
          <w:b w:val="0"/>
          <w:bCs w:val="0"/>
          <w:kern w:val="0"/>
        </w:rPr>
      </w:pPr>
      <w:bookmarkStart w:id="106" w:name="_Toc26137"/>
      <w:r>
        <w:rPr>
          <w:rFonts w:hint="eastAsia" w:ascii="黑体" w:eastAsia="黑体" w:cs="黑体"/>
          <w:b w:val="0"/>
          <w:bCs w:val="0"/>
          <w:kern w:val="0"/>
          <w:shd w:val="clear" w:color="auto" w:fill="FFFFFF"/>
        </w:rPr>
        <w:t>十二、国有资本经营预算财政拨款支出决算表</w:t>
      </w:r>
      <w:bookmarkEnd w:id="106"/>
    </w:p>
    <w:p>
      <w:pPr>
        <w:pStyle w:val="4"/>
        <w:keepNext w:val="0"/>
        <w:keepLines w:val="0"/>
        <w:widowControl/>
        <w:spacing w:before="0"/>
        <w:jc w:val="left"/>
        <w:rPr>
          <w:rFonts w:ascii="黑体" w:eastAsia="黑体" w:cs="黑体"/>
          <w:b w:val="0"/>
          <w:bCs w:val="0"/>
          <w:kern w:val="0"/>
        </w:rPr>
      </w:pPr>
      <w:bookmarkStart w:id="107" w:name="_Toc20596"/>
      <w:r>
        <w:rPr>
          <w:rFonts w:hint="eastAsia" w:ascii="黑体" w:eastAsia="黑体" w:cs="黑体"/>
          <w:b w:val="0"/>
          <w:bCs w:val="0"/>
          <w:kern w:val="0"/>
          <w:shd w:val="clear" w:color="auto" w:fill="FFFFFF"/>
        </w:rPr>
        <w:t>十三、</w:t>
      </w:r>
      <w:bookmarkEnd w:id="91"/>
      <w:r>
        <w:rPr>
          <w:rFonts w:hint="eastAsia" w:ascii="黑体" w:eastAsia="黑体" w:cs="黑体"/>
          <w:b w:val="0"/>
          <w:bCs w:val="0"/>
          <w:kern w:val="0"/>
          <w:shd w:val="clear" w:color="auto" w:fill="FFFFFF"/>
        </w:rPr>
        <w:t>财政拨款“三公”经费支出决算表</w:t>
      </w:r>
      <w:bookmarkEnd w:id="107"/>
    </w:p>
    <w:p>
      <w:pPr>
        <w:pStyle w:val="4"/>
        <w:keepNext w:val="0"/>
        <w:keepLines w:val="0"/>
        <w:widowControl/>
        <w:spacing w:before="0"/>
        <w:jc w:val="left"/>
        <w:rPr>
          <w:rFonts w:ascii="黑体" w:eastAsia="黑体" w:cs="黑体"/>
          <w:b w:val="0"/>
          <w:bCs w:val="0"/>
          <w:kern w:val="0"/>
        </w:rPr>
      </w:pPr>
    </w:p>
    <w:sectPr>
      <w:headerReference r:id="rId11" w:type="default"/>
      <w:footerReference r:id="rId12" w:type="default"/>
      <w:pgSz w:w="11906" w:h="16838"/>
      <w:pgMar w:top="1440" w:right="1800" w:bottom="1440" w:left="1800" w:header="0"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67E76C-46CF-484E-A563-53534A1396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9562134-9D38-4D51-8CFF-257CD6A75C71}"/>
  </w:font>
  <w:font w:name="Calibri Light">
    <w:panose1 w:val="020F0302020204030204"/>
    <w:charset w:val="00"/>
    <w:family w:val="swiss"/>
    <w:pitch w:val="default"/>
    <w:sig w:usb0="E4002EFF" w:usb1="C200247B" w:usb2="00000009" w:usb3="00000000" w:csb0="200001FF" w:csb1="00000000"/>
    <w:embedRegular r:id="rId3" w:fontKey="{866641EB-0169-43F7-BC81-582B1402F5CA}"/>
  </w:font>
  <w:font w:name="仿宋_GB2312">
    <w:panose1 w:val="02010609030101010101"/>
    <w:charset w:val="86"/>
    <w:family w:val="modern"/>
    <w:pitch w:val="default"/>
    <w:sig w:usb0="00000001" w:usb1="080E0000" w:usb2="00000000" w:usb3="00000000" w:csb0="00040000" w:csb1="00000000"/>
    <w:embedRegular r:id="rId4" w:fontKey="{4177108C-3532-4C97-92CA-DF9651087865}"/>
  </w:font>
  <w:font w:name="仿宋">
    <w:panose1 w:val="02010609060101010101"/>
    <w:charset w:val="86"/>
    <w:family w:val="modern"/>
    <w:pitch w:val="default"/>
    <w:sig w:usb0="800002BF" w:usb1="38CF7CFA" w:usb2="00000016" w:usb3="00000000" w:csb0="00040001" w:csb1="00000000"/>
    <w:embedRegular r:id="rId5" w:fontKey="{8C6564D5-8A2C-41AF-ADB8-78B46D947D74}"/>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6" w:fontKey="{26C4282B-3D75-4C03-BE2A-6FE48ACDBD35}"/>
  </w:font>
  <w:font w:name="方正仿宋_GB2312">
    <w:panose1 w:val="02000000000000000000"/>
    <w:charset w:val="86"/>
    <w:family w:val="auto"/>
    <w:pitch w:val="default"/>
    <w:sig w:usb0="A00002BF" w:usb1="184F6CFA" w:usb2="00000012" w:usb3="00000000" w:csb0="00040001" w:csb1="00000000"/>
    <w:embedRegular r:id="rId7" w:fontKey="{BA94FE1E-B39F-440A-A8AD-3CCC1D89DDE9}"/>
  </w:font>
  <w:font w:name="微软雅黑">
    <w:panose1 w:val="020B0503020204020204"/>
    <w:charset w:val="86"/>
    <w:family w:val="auto"/>
    <w:pitch w:val="default"/>
    <w:sig w:usb0="80000287" w:usb1="2ACF3C50" w:usb2="00000016" w:usb3="00000000" w:csb0="0004001F" w:csb1="00000000"/>
    <w:embedRegular r:id="rId8" w:fontKey="{1ED50D47-B1A1-431F-92AD-9A17A90E5A60}"/>
  </w:font>
  <w:font w:name="等线">
    <w:panose1 w:val="02010600030101010101"/>
    <w:charset w:val="86"/>
    <w:family w:val="auto"/>
    <w:pitch w:val="default"/>
    <w:sig w:usb0="A00002BF" w:usb1="38CF7CFA" w:usb2="00000016" w:usb3="00000000" w:csb0="0004000F" w:csb1="00000000"/>
  </w:font>
  <w:font w:name="汉仪旗黑-55简">
    <w:altName w:val="黑体"/>
    <w:panose1 w:val="00020600040101010101"/>
    <w:charset w:val="80"/>
    <w:family w:val="auto"/>
    <w:pitch w:val="default"/>
    <w:sig w:usb0="00000000" w:usb1="00000000" w:usb2="00000000" w:usb3="00000000" w:csb0="00000000" w:csb1="00000000"/>
  </w:font>
  <w:font w:name="汉仪旗黑-55简">
    <w:altName w:val="黑体"/>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embedRegular r:id="rId9" w:fontKey="{D4D71CE8-2DF8-4DA6-B0B2-DCABBC6537E8}"/>
  </w:font>
  <w:font w:name="楷体">
    <w:panose1 w:val="02010609060101010101"/>
    <w:charset w:val="86"/>
    <w:family w:val="modern"/>
    <w:pitch w:val="default"/>
    <w:sig w:usb0="800002BF" w:usb1="38CF7CFA" w:usb2="00000016" w:usb3="00000000" w:csb0="00040001" w:csb1="00000000"/>
    <w:embedRegular r:id="rId10" w:fontKey="{0BD959FB-139F-4D5F-A5BB-0DB261498356}"/>
  </w:font>
  <w:font w:name="方正仿宋_GBK">
    <w:altName w:val="Microsoft YaHei UI"/>
    <w:panose1 w:val="03000509000000000000"/>
    <w:charset w:val="86"/>
    <w:family w:val="script"/>
    <w:pitch w:val="default"/>
    <w:sig w:usb0="00000000" w:usb1="00000000" w:usb2="00000000" w:usb3="00000000" w:csb0="00040000" w:csb1="00000000"/>
    <w:embedRegular r:id="rId11" w:fontKey="{C7C7C536-959B-44E1-9E17-F8C411321DB9}"/>
  </w:font>
  <w:font w:name="方正楷体_GB2312">
    <w:panose1 w:val="02000000000000000000"/>
    <w:charset w:val="86"/>
    <w:family w:val="auto"/>
    <w:pitch w:val="default"/>
    <w:sig w:usb0="A00002BF" w:usb1="184F6CFA" w:usb2="00000012" w:usb3="00000000" w:csb0="00040001" w:csb1="00000000"/>
    <w:embedRegular r:id="rId12" w:fontKey="{B7F6B761-735F-4C56-A83A-AC9AEA3376D7}"/>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cs="Times New Roman"/>
      </w:rP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9525" cy="131445"/>
              <wp:effectExtent l="0" t="0" r="0" b="0"/>
              <wp:wrapNone/>
              <wp:docPr id="1" name="文本框 6"/>
              <wp:cNvGraphicFramePr/>
              <a:graphic xmlns:a="http://schemas.openxmlformats.org/drawingml/2006/main">
                <a:graphicData uri="http://schemas.microsoft.com/office/word/2010/wordprocessingShape">
                  <wps:wsp>
                    <wps:cNvSpPr/>
                    <wps:spPr>
                      <a:xfrm>
                        <a:off x="0" y="0"/>
                        <a:ext cx="9524" cy="131559"/>
                      </a:xfrm>
                      <a:prstGeom prst="rect">
                        <a:avLst/>
                      </a:prstGeom>
                      <a:noFill/>
                      <a:ln w="9525" cap="flat" cmpd="sng">
                        <a:noFill/>
                        <a:prstDash val="solid"/>
                        <a:round/>
                      </a:ln>
                    </wps:spPr>
                    <wps:txbx>
                      <w:txbxContent>
                        <w:p>
                          <w:pPr>
                            <w:pStyle w:val="11"/>
                          </w:pPr>
                        </w:p>
                      </w:txbxContent>
                    </wps:txbx>
                    <wps:bodyPr vert="horz" wrap="none" lIns="0" tIns="0" rIns="0" bIns="0" anchor="t" anchorCtr="0">
                      <a:spAutoFit/>
                    </wps:bodyPr>
                  </wps:wsp>
                </a:graphicData>
              </a:graphic>
            </wp:anchor>
          </w:drawing>
        </mc:Choice>
        <mc:Fallback>
          <w:pict>
            <v:rect id="文本框 6" o:spid="_x0000_s1026" o:spt="1" style="position:absolute;left:0pt;margin-top:0pt;height:10.35pt;width:0.75pt;mso-position-horizontal:center;mso-position-horizontal-relative:margin;mso-wrap-style:none;z-index:251659264;mso-width-relative:page;mso-height-relative:page;" filled="f" stroked="f" coordsize="21600,21600" o:gfxdata="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iV0TrQAAAAAgEAAA8AAAAAAAAAAQAgAAAAIgAAAGRycy9kb3ducmV2LnhtbFBLAQIUABQA&#10;AAAIAIdO4kBgvXFI+AEAAOYDAAAOAAAAAAAAAAEAIAAAAB8BAABkcnMvZTJvRG9jLnhtbFBLBQYA&#10;AAAABgAGAFkBAACJBQAAAAA=&#10;">
              <v:fill on="f" focussize="0,0"/>
              <v:stroke on="f" joinstyle="round"/>
              <v:imagedata o:title=""/>
              <o:lock v:ext="edit" aspectratio="f"/>
              <v:textbox inset="0mm,0mm,0mm,0mm" style="mso-fit-shape-to-text:t;">
                <w:txbxContent>
                  <w:p>
                    <w:pPr>
                      <w:pStyle w:val="11"/>
                    </w:pPr>
                  </w:p>
                </w:txbxContent>
              </v:textbox>
            </v:rect>
          </w:pict>
        </mc:Fallback>
      </mc:AlternateContent>
    </w:r>
  </w:p>
  <w:p>
    <w:pPr>
      <w:pStyle w:val="11"/>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3" name="文本框 3"/>
              <wp:cNvGraphicFramePr/>
              <a:graphic xmlns:a="http://schemas.openxmlformats.org/drawingml/2006/main">
                <a:graphicData uri="http://schemas.microsoft.com/office/word/2010/wordprocessingShape">
                  <wps:wsp>
                    <wps:cNvSpPr/>
                    <wps:spPr>
                      <a:xfrm>
                        <a:off x="0" y="0"/>
                        <a:ext cx="114300" cy="131559"/>
                      </a:xfrm>
                      <a:prstGeom prst="rect">
                        <a:avLst/>
                      </a:prstGeom>
                      <a:noFill/>
                      <a:ln w="6350" cap="flat" cmpd="sng">
                        <a:noFill/>
                        <a:prstDash val="solid"/>
                        <a:round/>
                      </a:ln>
                    </wps:spPr>
                    <wps:txbx>
                      <w:txbxContent>
                        <w:p>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rect id="文本框 3"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dFJcnVAAAAAwEAAA8AAAAAAAAAAQAgAAAAIgAAAGRycy9kb3ducmV2Lnht&#10;bFBLAQIUABQAAAAIAIdO4kDxjRbh/AEAAOgDAAAOAAAAAAAAAAEAIAAAACQBAABkcnMvZTJvRG9j&#10;LnhtbFBLBQYAAAAABgAGAFkBAACSBQAAAAA=&#10;">
              <v:fill on="f" focussize="0,0"/>
              <v:stroke on="f" weight="0.5pt"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rect>
          </w:pict>
        </mc:Fallback>
      </mc:AlternateContent>
    </w:r>
  </w:p>
  <w:p>
    <w:pPr>
      <w:pStyle w:val="11"/>
      <w:rPr>
        <w:rFonts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4" name="文本框 3"/>
              <wp:cNvGraphicFramePr/>
              <a:graphic xmlns:a="http://schemas.openxmlformats.org/drawingml/2006/main">
                <a:graphicData uri="http://schemas.microsoft.com/office/word/2010/wordprocessingShape">
                  <wps:wsp>
                    <wps:cNvSpPr/>
                    <wps:spPr>
                      <a:xfrm>
                        <a:off x="0" y="0"/>
                        <a:ext cx="114300" cy="131559"/>
                      </a:xfrm>
                      <a:prstGeom prst="rect">
                        <a:avLst/>
                      </a:prstGeom>
                      <a:noFill/>
                      <a:ln w="6350" cap="flat" cmpd="sng">
                        <a:noFill/>
                        <a:prstDash val="solid"/>
                        <a:round/>
                      </a:ln>
                    </wps:spPr>
                    <wps:txbx>
                      <w:txbxContent>
                        <w:p>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rect id="文本框 3"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dFJcnVAAAAAwEAAA8AAAAAAAAAAQAgAAAAIgAAAGRycy9kb3ducmV2Lnht&#10;bFBLAQIUABQAAAAIAIdO4kAjzrrd/AEAAOgDAAAOAAAAAAAAAAEAIAAAACQBAABkcnMvZTJvRG9j&#10;LnhtbFBLBQYAAAAABgAGAFkBAACSBQAAAAA=&#10;">
              <v:fill on="f" focussize="0,0"/>
              <v:stroke on="f" weight="0.5pt"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rect>
          </w:pict>
        </mc:Fallback>
      </mc:AlternateContent>
    </w:r>
  </w:p>
  <w:p>
    <w:pPr>
      <w:pStyle w:val="11"/>
      <w:rPr>
        <w:rFonts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cs="Times New Roman"/>
      </w:rP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4" name="文本框 4"/>
              <wp:cNvGraphicFramePr/>
              <a:graphic xmlns:a="http://schemas.openxmlformats.org/drawingml/2006/main">
                <a:graphicData uri="http://schemas.microsoft.com/office/word/2010/wordprocessingShape">
                  <wps:wsp>
                    <wps:cNvSpPr/>
                    <wps:spPr>
                      <a:xfrm>
                        <a:off x="0" y="0"/>
                        <a:ext cx="114300" cy="131559"/>
                      </a:xfrm>
                      <a:prstGeom prst="rect">
                        <a:avLst/>
                      </a:prstGeom>
                      <a:noFill/>
                      <a:ln w="6350" cap="flat" cmpd="sng">
                        <a:noFill/>
                        <a:prstDash val="solid"/>
                        <a:round/>
                      </a:ln>
                    </wps:spPr>
                    <wps:txbx>
                      <w:txbxContent>
                        <w:p>
                          <w:pPr>
                            <w:pStyle w:val="11"/>
                          </w:pPr>
                          <w:r>
                            <w:fldChar w:fldCharType="begin"/>
                          </w:r>
                          <w:r>
                            <w:instrText xml:space="preserve"> PAGE  \* MERGEFORMAT </w:instrText>
                          </w:r>
                          <w:r>
                            <w:fldChar w:fldCharType="separate"/>
                          </w:r>
                          <w:r>
                            <w:t>36</w:t>
                          </w:r>
                          <w:r>
                            <w:fldChar w:fldCharType="end"/>
                          </w:r>
                        </w:p>
                      </w:txbxContent>
                    </wps:txbx>
                    <wps:bodyPr vert="horz" wrap="none" lIns="0" tIns="0" rIns="0" bIns="0" anchor="t" anchorCtr="0">
                      <a:spAutoFit/>
                    </wps:bodyPr>
                  </wps:wsp>
                </a:graphicData>
              </a:graphic>
            </wp:anchor>
          </w:drawing>
        </mc:Choice>
        <mc:Fallback>
          <w:pict>
            <v:rect id="文本框 4"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dFJcnVAAAAAwEAAA8AAAAAAAAAAQAgAAAAIgAAAGRycy9kb3ducmV2Lnht&#10;bFBLAQIUABQAAAAIAIdO4kCAzjLi/AEAAOkDAAAOAAAAAAAAAAEAIAAAACQBAABkcnMvZTJvRG9j&#10;LnhtbFBLBQYAAAAABgAGAFkBAACSBQAAAAA=&#10;">
              <v:fill on="f" focussize="0,0"/>
              <v:stroke on="f" weight="0.5pt"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36</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rPr>
        <w:rFonts w:cs="Times New Roman"/>
      </w:rPr>
    </w:pPr>
  </w:p>
  <w:p>
    <w:pPr>
      <w:pStyle w:val="12"/>
      <w:pBdr>
        <w:bottom w:val="none" w:color="auto" w:sz="0" w:space="0"/>
      </w:pBdr>
      <w:rPr>
        <w:rFonts w:cs="Times New Roman"/>
      </w:rPr>
    </w:pPr>
  </w:p>
  <w:p>
    <w:pPr>
      <w:pStyle w:val="12"/>
      <w:pBdr>
        <w:bottom w:val="none" w:color="auto" w:sz="0" w:space="0"/>
      </w:pBdr>
      <w:rPr>
        <w:rFonts w:cs="Times New Roman"/>
      </w:rPr>
    </w:pPr>
  </w:p>
  <w:p>
    <w:pPr>
      <w:pStyle w:val="12"/>
      <w:pBdr>
        <w:bottom w:val="none" w:color="auto" w:sz="0" w:space="0"/>
      </w:pBdr>
      <w:rPr>
        <w:rFonts w:cs="Times New Roman"/>
      </w:rPr>
    </w:pPr>
  </w:p>
  <w:p>
    <w:pPr>
      <w:pStyle w:val="12"/>
      <w:pBdr>
        <w:bottom w:val="none" w:color="auto" w:sz="0" w:space="0"/>
      </w:pBdr>
      <w:rPr>
        <w:rFonts w:cs="Times New Roman"/>
      </w:rPr>
    </w:pPr>
  </w:p>
  <w:p>
    <w:pPr>
      <w:pStyle w:val="12"/>
      <w:pBdr>
        <w:bottom w:val="none" w:color="auto" w:sz="0" w:space="0"/>
      </w:pBdr>
      <w:rPr>
        <w:rFonts w:cs="Times New Roman"/>
      </w:rPr>
    </w:pPr>
  </w:p>
  <w:p>
    <w:pPr>
      <w:pStyle w:val="12"/>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4761A"/>
    <w:multiLevelType w:val="singleLevel"/>
    <w:tmpl w:val="9E54761A"/>
    <w:lvl w:ilvl="0" w:tentative="0">
      <w:start w:val="1"/>
      <w:numFmt w:val="chineseCounting"/>
      <w:suff w:val="nothing"/>
      <w:lvlText w:val="%1、"/>
      <w:lvlJc w:val="left"/>
      <w:pPr>
        <w:ind w:left="0" w:firstLine="0"/>
      </w:pPr>
      <w:rPr>
        <w:rFonts w:hint="eastAsia"/>
      </w:rPr>
    </w:lvl>
  </w:abstractNum>
  <w:abstractNum w:abstractNumId="1">
    <w:nsid w:val="D7FB6DD5"/>
    <w:multiLevelType w:val="singleLevel"/>
    <w:tmpl w:val="D7FB6DD5"/>
    <w:lvl w:ilvl="0" w:tentative="0">
      <w:start w:val="2"/>
      <w:numFmt w:val="chineseCounting"/>
      <w:suff w:val="nothing"/>
      <w:lvlText w:val="（%1）"/>
      <w:lvlJc w:val="left"/>
      <w:pPr>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4D26B4A"/>
    <w:multiLevelType w:val="singleLevel"/>
    <w:tmpl w:val="34D26B4A"/>
    <w:lvl w:ilvl="0" w:tentative="0">
      <w:start w:val="1"/>
      <w:numFmt w:val="chineseCounting"/>
      <w:suff w:val="nothing"/>
      <w:lvlText w:val="（%1）"/>
      <w:lvlJc w:val="left"/>
      <w:pPr>
        <w:ind w:left="0" w:firstLine="0"/>
      </w:pPr>
      <w:rPr>
        <w:rFonts w:hint="eastAsia"/>
      </w:rPr>
    </w:lvl>
  </w:abstractNum>
  <w:abstractNum w:abstractNumId="4">
    <w:nsid w:val="56DA0BF7"/>
    <w:multiLevelType w:val="singleLevel"/>
    <w:tmpl w:val="56DA0BF7"/>
    <w:lvl w:ilvl="0" w:tentative="0">
      <w:start w:val="1"/>
      <w:numFmt w:val="decimal"/>
      <w:lvlText w:val="%1."/>
      <w:lvlJc w:val="left"/>
      <w:pPr>
        <w:ind w:left="0" w:firstLine="0"/>
      </w:pPr>
    </w:lvl>
  </w:abstractNum>
  <w:abstractNum w:abstractNumId="5">
    <w:nsid w:val="735A3AB1"/>
    <w:multiLevelType w:val="singleLevel"/>
    <w:tmpl w:val="735A3AB1"/>
    <w:lvl w:ilvl="0" w:tentative="0">
      <w:start w:val="2"/>
      <w:numFmt w:val="chineseCounting"/>
      <w:suff w:val="nothing"/>
      <w:lvlText w:val="（%1）"/>
      <w:lvlJc w:val="left"/>
      <w:pPr>
        <w:ind w:left="0" w:firstLine="0"/>
      </w:pPr>
      <w:rPr>
        <w:rFonts w:hint="eastAsia"/>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5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mY4OGIwYzgwZTYxYWViZTE0OTQwYzBjYTNiNzAzYWIifQ=="/>
    <w:docVar w:name="KSO_WPS_MARK_KEY" w:val="90d0c5cd-995f-4409-86a1-e82c51be96b5"/>
  </w:docVars>
  <w:rsids>
    <w:rsidRoot w:val="008A5339"/>
    <w:rsid w:val="007478DF"/>
    <w:rsid w:val="008A5339"/>
    <w:rsid w:val="008D79C4"/>
    <w:rsid w:val="00B67670"/>
    <w:rsid w:val="017A135D"/>
    <w:rsid w:val="01AA61E5"/>
    <w:rsid w:val="03986E61"/>
    <w:rsid w:val="03C465B4"/>
    <w:rsid w:val="0624009C"/>
    <w:rsid w:val="0659586C"/>
    <w:rsid w:val="069E611E"/>
    <w:rsid w:val="09DE73C3"/>
    <w:rsid w:val="0AB80DB3"/>
    <w:rsid w:val="0ADA3444"/>
    <w:rsid w:val="0B7E25A3"/>
    <w:rsid w:val="0D0A78C0"/>
    <w:rsid w:val="0D4E0FE4"/>
    <w:rsid w:val="0D58687D"/>
    <w:rsid w:val="0DD31632"/>
    <w:rsid w:val="0ED62150"/>
    <w:rsid w:val="10771710"/>
    <w:rsid w:val="11EF466A"/>
    <w:rsid w:val="12696709"/>
    <w:rsid w:val="136E1AA9"/>
    <w:rsid w:val="1457163D"/>
    <w:rsid w:val="175D340E"/>
    <w:rsid w:val="17E2796B"/>
    <w:rsid w:val="18074FC4"/>
    <w:rsid w:val="188C387F"/>
    <w:rsid w:val="18FA2EDF"/>
    <w:rsid w:val="197B401F"/>
    <w:rsid w:val="1B463309"/>
    <w:rsid w:val="1C1A56AA"/>
    <w:rsid w:val="1CC6080C"/>
    <w:rsid w:val="1E2429A6"/>
    <w:rsid w:val="1F0E4FEE"/>
    <w:rsid w:val="20EB197F"/>
    <w:rsid w:val="215A5DFB"/>
    <w:rsid w:val="21921F06"/>
    <w:rsid w:val="21967A54"/>
    <w:rsid w:val="2322375E"/>
    <w:rsid w:val="234C07DB"/>
    <w:rsid w:val="24FB028B"/>
    <w:rsid w:val="260E7FC9"/>
    <w:rsid w:val="26AA5269"/>
    <w:rsid w:val="26F1147D"/>
    <w:rsid w:val="28B63F15"/>
    <w:rsid w:val="2A441539"/>
    <w:rsid w:val="2BDD5640"/>
    <w:rsid w:val="2BF96E4D"/>
    <w:rsid w:val="2C2922D7"/>
    <w:rsid w:val="2F9C6C2E"/>
    <w:rsid w:val="30AA7CAC"/>
    <w:rsid w:val="30C80B2B"/>
    <w:rsid w:val="313E79B5"/>
    <w:rsid w:val="31E11E27"/>
    <w:rsid w:val="32E966E4"/>
    <w:rsid w:val="33325C0A"/>
    <w:rsid w:val="33576B0C"/>
    <w:rsid w:val="34D1379B"/>
    <w:rsid w:val="34FB250A"/>
    <w:rsid w:val="37683528"/>
    <w:rsid w:val="387168C2"/>
    <w:rsid w:val="394C2E8B"/>
    <w:rsid w:val="3A2165A3"/>
    <w:rsid w:val="3C2123AD"/>
    <w:rsid w:val="3C2854E9"/>
    <w:rsid w:val="3C2F4ACA"/>
    <w:rsid w:val="3E2D3FD4"/>
    <w:rsid w:val="3E734A16"/>
    <w:rsid w:val="3F6F6A12"/>
    <w:rsid w:val="40175FA1"/>
    <w:rsid w:val="40B669BF"/>
    <w:rsid w:val="40C652D1"/>
    <w:rsid w:val="41F556A9"/>
    <w:rsid w:val="425A754D"/>
    <w:rsid w:val="451A3E3D"/>
    <w:rsid w:val="45EA7CB3"/>
    <w:rsid w:val="46285029"/>
    <w:rsid w:val="46D74FFF"/>
    <w:rsid w:val="48284AC3"/>
    <w:rsid w:val="48AD309B"/>
    <w:rsid w:val="49A14B2D"/>
    <w:rsid w:val="49CA15FC"/>
    <w:rsid w:val="4A764019"/>
    <w:rsid w:val="4B416F51"/>
    <w:rsid w:val="4C080E93"/>
    <w:rsid w:val="4C1B0BC7"/>
    <w:rsid w:val="4DA16EA9"/>
    <w:rsid w:val="4DB12734"/>
    <w:rsid w:val="4E760336"/>
    <w:rsid w:val="4E7B3B9E"/>
    <w:rsid w:val="4ED64BB2"/>
    <w:rsid w:val="4EF7519A"/>
    <w:rsid w:val="4F1A33B7"/>
    <w:rsid w:val="4F2F6329"/>
    <w:rsid w:val="50F87728"/>
    <w:rsid w:val="520120BC"/>
    <w:rsid w:val="52C378C2"/>
    <w:rsid w:val="536B2B6D"/>
    <w:rsid w:val="540B3D5F"/>
    <w:rsid w:val="543C2A3F"/>
    <w:rsid w:val="54923C94"/>
    <w:rsid w:val="550B602B"/>
    <w:rsid w:val="56724B3C"/>
    <w:rsid w:val="5697353F"/>
    <w:rsid w:val="576D0C7D"/>
    <w:rsid w:val="59CB5831"/>
    <w:rsid w:val="5A451E8D"/>
    <w:rsid w:val="5B7420A1"/>
    <w:rsid w:val="5B7C5324"/>
    <w:rsid w:val="5DF2214A"/>
    <w:rsid w:val="5E0771FD"/>
    <w:rsid w:val="5E0F378C"/>
    <w:rsid w:val="5EA42C9D"/>
    <w:rsid w:val="5F487D0E"/>
    <w:rsid w:val="5F73441E"/>
    <w:rsid w:val="5FC11E9A"/>
    <w:rsid w:val="60B25E88"/>
    <w:rsid w:val="61B256D1"/>
    <w:rsid w:val="625E018B"/>
    <w:rsid w:val="63E91153"/>
    <w:rsid w:val="642457DA"/>
    <w:rsid w:val="643D14BE"/>
    <w:rsid w:val="64A813FC"/>
    <w:rsid w:val="64B74DAD"/>
    <w:rsid w:val="64BB2561"/>
    <w:rsid w:val="64E35BA2"/>
    <w:rsid w:val="65522416"/>
    <w:rsid w:val="655855C3"/>
    <w:rsid w:val="658F37B0"/>
    <w:rsid w:val="6648068F"/>
    <w:rsid w:val="67DF3FC4"/>
    <w:rsid w:val="68126ECA"/>
    <w:rsid w:val="68664B20"/>
    <w:rsid w:val="68EA0173"/>
    <w:rsid w:val="6908566E"/>
    <w:rsid w:val="69612116"/>
    <w:rsid w:val="69B61AEE"/>
    <w:rsid w:val="6A331379"/>
    <w:rsid w:val="6A9F48FD"/>
    <w:rsid w:val="6C0A7EB8"/>
    <w:rsid w:val="6C0B12DB"/>
    <w:rsid w:val="6F795BDD"/>
    <w:rsid w:val="70311EB7"/>
    <w:rsid w:val="73F55E03"/>
    <w:rsid w:val="73FA2730"/>
    <w:rsid w:val="74F86FE9"/>
    <w:rsid w:val="768D3BBF"/>
    <w:rsid w:val="769B7388"/>
    <w:rsid w:val="76BA46F2"/>
    <w:rsid w:val="7789082B"/>
    <w:rsid w:val="77F953AA"/>
    <w:rsid w:val="79842082"/>
    <w:rsid w:val="79BE3214"/>
    <w:rsid w:val="7A0917AF"/>
    <w:rsid w:val="7A953A19"/>
    <w:rsid w:val="7AAE5437"/>
    <w:rsid w:val="7AE6048D"/>
    <w:rsid w:val="7B4348AC"/>
    <w:rsid w:val="7D3D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22"/>
    <w:qFormat/>
    <w:uiPriority w:val="9"/>
    <w:pPr>
      <w:keepNext/>
      <w:keepLines/>
      <w:spacing w:before="340" w:after="330" w:line="578" w:lineRule="auto"/>
      <w:jc w:val="left"/>
      <w:outlineLvl w:val="0"/>
    </w:pPr>
    <w:rPr>
      <w:rFonts w:eastAsia="黑体"/>
      <w:b/>
      <w:bCs/>
      <w:kern w:val="44"/>
      <w:sz w:val="44"/>
      <w:szCs w:val="44"/>
    </w:rPr>
  </w:style>
  <w:style w:type="paragraph" w:styleId="4">
    <w:name w:val="heading 2"/>
    <w:basedOn w:val="1"/>
    <w:next w:val="1"/>
    <w:link w:val="23"/>
    <w:unhideWhenUsed/>
    <w:qFormat/>
    <w:uiPriority w:val="9"/>
    <w:pPr>
      <w:keepNext/>
      <w:keepLines/>
      <w:spacing w:before="260" w:after="260" w:line="415" w:lineRule="auto"/>
      <w:outlineLvl w:val="1"/>
    </w:pPr>
    <w:rPr>
      <w:rFonts w:ascii="Calibri Light" w:hAnsi="Calibri Light" w:cs="Calibri Light"/>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sz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qFormat/>
    <w:uiPriority w:val="0"/>
    <w:pPr>
      <w:spacing w:before="30" w:beforeLines="30"/>
    </w:pPr>
    <w:rPr>
      <w:rFonts w:ascii="仿宋_GB2312" w:eastAsia="仿宋_GB2312" w:cs="仿宋_GB2312"/>
      <w:kern w:val="0"/>
      <w:sz w:val="30"/>
      <w:szCs w:val="30"/>
    </w:rPr>
  </w:style>
  <w:style w:type="paragraph" w:styleId="7">
    <w:name w:val="Body Text Indent"/>
    <w:basedOn w:val="1"/>
    <w:next w:val="8"/>
    <w:qFormat/>
    <w:uiPriority w:val="0"/>
    <w:pPr>
      <w:spacing w:after="120"/>
      <w:ind w:left="200" w:leftChars="200"/>
    </w:pPr>
    <w:rPr>
      <w:rFonts w:ascii="Times New Roman" w:hAnsi="Times New Roman" w:cs="Times New Roman"/>
    </w:rPr>
  </w:style>
  <w:style w:type="paragraph" w:styleId="8">
    <w:name w:val="Title"/>
    <w:basedOn w:val="1"/>
    <w:next w:val="1"/>
    <w:qFormat/>
    <w:uiPriority w:val="10"/>
    <w:pPr>
      <w:jc w:val="center"/>
      <w:outlineLvl w:val="0"/>
    </w:pPr>
    <w:rPr>
      <w:rFonts w:ascii="Calibri Light" w:hAnsi="Calibri Light" w:eastAsia="黑体" w:cs="Times New Roman"/>
      <w:b/>
      <w:bCs/>
      <w:sz w:val="44"/>
      <w:szCs w:val="32"/>
      <w:lang w:val="zh-CN"/>
    </w:rPr>
  </w:style>
  <w:style w:type="paragraph" w:styleId="9">
    <w:name w:val="toc 3"/>
    <w:basedOn w:val="1"/>
    <w:next w:val="1"/>
    <w:qFormat/>
    <w:uiPriority w:val="0"/>
    <w:pPr>
      <w:widowControl/>
      <w:spacing w:after="100" w:line="276" w:lineRule="auto"/>
      <w:ind w:left="440"/>
      <w:jc w:val="left"/>
    </w:pPr>
    <w:rPr>
      <w:kern w:val="0"/>
      <w:sz w:val="22"/>
      <w:szCs w:val="22"/>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cs="仿宋"/>
      <w:sz w:val="28"/>
      <w:szCs w:val="28"/>
    </w:rPr>
  </w:style>
  <w:style w:type="paragraph" w:styleId="14">
    <w:name w:val="index 9"/>
    <w:basedOn w:val="1"/>
    <w:next w:val="1"/>
    <w:qFormat/>
    <w:uiPriority w:val="0"/>
    <w:pPr>
      <w:ind w:left="3360"/>
    </w:pPr>
  </w:style>
  <w:style w:type="paragraph" w:styleId="15">
    <w:name w:val="toc 2"/>
    <w:basedOn w:val="1"/>
    <w:next w:val="1"/>
    <w:qFormat/>
    <w:uiPriority w:val="0"/>
    <w:pPr>
      <w:tabs>
        <w:tab w:val="right" w:leader="dot" w:pos="8296"/>
      </w:tabs>
      <w:ind w:left="200" w:leftChars="200"/>
    </w:pPr>
  </w:style>
  <w:style w:type="paragraph" w:styleId="16">
    <w:name w:val="Normal (Web)"/>
    <w:basedOn w:val="1"/>
    <w:qFormat/>
    <w:uiPriority w:val="0"/>
    <w:pPr>
      <w:spacing w:beforeAutospacing="1" w:afterAutospacing="1"/>
      <w:jc w:val="left"/>
    </w:pPr>
    <w:rPr>
      <w:kern w:val="0"/>
      <w:sz w:val="24"/>
      <w:szCs w:val="24"/>
    </w:rPr>
  </w:style>
  <w:style w:type="paragraph" w:styleId="17">
    <w:name w:val="Body Text First Indent 2"/>
    <w:basedOn w:val="1"/>
    <w:next w:val="1"/>
    <w:qFormat/>
    <w:uiPriority w:val="0"/>
    <w:pPr>
      <w:ind w:firstLine="200" w:firstLineChars="200"/>
    </w:pPr>
  </w:style>
  <w:style w:type="character" w:styleId="20">
    <w:name w:val="Strong"/>
    <w:basedOn w:val="19"/>
    <w:qFormat/>
    <w:uiPriority w:val="0"/>
    <w:rPr>
      <w:b/>
      <w:bCs/>
    </w:rPr>
  </w:style>
  <w:style w:type="character" w:styleId="21">
    <w:name w:val="Hyperlink"/>
    <w:qFormat/>
    <w:uiPriority w:val="0"/>
    <w:rPr>
      <w:color w:val="0563C1"/>
      <w:u w:val="single"/>
    </w:rPr>
  </w:style>
  <w:style w:type="character" w:customStyle="1" w:styleId="22">
    <w:name w:val="标题 1 字符"/>
    <w:basedOn w:val="19"/>
    <w:link w:val="3"/>
    <w:qFormat/>
    <w:uiPriority w:val="0"/>
    <w:rPr>
      <w:rFonts w:ascii="Calibri" w:hAnsi="Calibri" w:eastAsia="黑体" w:cs="Calibri"/>
      <w:b/>
      <w:bCs/>
      <w:kern w:val="44"/>
      <w:sz w:val="44"/>
      <w:szCs w:val="44"/>
      <w:lang w:val="en-US" w:eastAsia="zh-CN" w:bidi="ar-SA"/>
    </w:rPr>
  </w:style>
  <w:style w:type="character" w:customStyle="1" w:styleId="23">
    <w:name w:val="标题 2 字符"/>
    <w:basedOn w:val="19"/>
    <w:link w:val="4"/>
    <w:qFormat/>
    <w:uiPriority w:val="0"/>
    <w:rPr>
      <w:rFonts w:ascii="Calibri Light" w:hAnsi="Calibri Light" w:eastAsia="宋体" w:cs="Calibri Light"/>
      <w:b/>
      <w:bCs/>
      <w:kern w:val="2"/>
      <w:sz w:val="32"/>
      <w:szCs w:val="32"/>
      <w:lang w:val="en-US" w:eastAsia="zh-CN" w:bidi="ar-SA"/>
    </w:rPr>
  </w:style>
  <w:style w:type="character" w:customStyle="1" w:styleId="24">
    <w:name w:val="标题 2 Char"/>
    <w:qFormat/>
    <w:uiPriority w:val="0"/>
    <w:rPr>
      <w:rFonts w:ascii="Calibri Light" w:hAnsi="Calibri Light" w:eastAsia="宋体" w:cs="Calibri Light"/>
      <w:b/>
      <w:bCs/>
      <w:sz w:val="32"/>
      <w:szCs w:val="32"/>
    </w:rPr>
  </w:style>
  <w:style w:type="character" w:customStyle="1" w:styleId="25">
    <w:name w:val="font71"/>
    <w:qFormat/>
    <w:uiPriority w:val="0"/>
    <w:rPr>
      <w:rFonts w:ascii="仿宋_GB2312" w:eastAsia="仿宋_GB2312" w:cs="仿宋_GB2312"/>
      <w:color w:val="000000"/>
      <w:sz w:val="30"/>
      <w:szCs w:val="30"/>
      <w:u w:val="none"/>
    </w:rPr>
  </w:style>
  <w:style w:type="character" w:customStyle="1" w:styleId="26">
    <w:name w:val="font41"/>
    <w:qFormat/>
    <w:uiPriority w:val="0"/>
    <w:rPr>
      <w:rFonts w:ascii="华文仿宋" w:eastAsia="华文仿宋" w:cs="华文仿宋"/>
      <w:color w:val="000000"/>
      <w:sz w:val="32"/>
      <w:szCs w:val="32"/>
      <w:u w:val="none"/>
    </w:rPr>
  </w:style>
  <w:style w:type="character" w:customStyle="1" w:styleId="27">
    <w:name w:val="font81"/>
    <w:qFormat/>
    <w:uiPriority w:val="0"/>
    <w:rPr>
      <w:rFonts w:ascii="仿宋_GB2312" w:eastAsia="仿宋_GB2312" w:cs="仿宋_GB2312"/>
      <w:color w:val="000000"/>
      <w:sz w:val="22"/>
      <w:szCs w:val="22"/>
      <w:u w:val="none"/>
    </w:rPr>
  </w:style>
  <w:style w:type="character" w:customStyle="1" w:styleId="28">
    <w:name w:val="15"/>
    <w:qFormat/>
    <w:uiPriority w:val="0"/>
    <w:rPr>
      <w:rFonts w:ascii="Times New Roman" w:hAnsi="Times New Roman" w:cs="Times New Roman"/>
      <w:b/>
      <w:bCs/>
    </w:rPr>
  </w:style>
  <w:style w:type="character" w:customStyle="1" w:styleId="29">
    <w:name w:val="font51"/>
    <w:qFormat/>
    <w:uiPriority w:val="0"/>
    <w:rPr>
      <w:rFonts w:ascii="华文仿宋" w:eastAsia="华文仿宋" w:cs="华文仿宋"/>
      <w:color w:val="000000"/>
      <w:sz w:val="22"/>
      <w:szCs w:val="22"/>
      <w:u w:val="none"/>
    </w:rPr>
  </w:style>
  <w:style w:type="paragraph" w:customStyle="1" w:styleId="30">
    <w:name w:val="TOC 标题1"/>
    <w:basedOn w:val="3"/>
    <w:next w:val="1"/>
    <w:qFormat/>
    <w:uiPriority w:val="0"/>
    <w:pPr>
      <w:widowControl/>
      <w:spacing w:before="480" w:after="0" w:line="276" w:lineRule="auto"/>
      <w:outlineLvl w:val="9"/>
    </w:pPr>
    <w:rPr>
      <w:rFonts w:ascii="Calibri Light" w:hAnsi="Calibri Light" w:cs="Calibri Light"/>
      <w:color w:val="2E74B5"/>
      <w:kern w:val="0"/>
      <w:sz w:val="28"/>
      <w:szCs w:val="28"/>
    </w:rPr>
  </w:style>
  <w:style w:type="paragraph" w:customStyle="1" w:styleId="31">
    <w:name w:val="_Style 33"/>
    <w:basedOn w:val="3"/>
    <w:next w:val="1"/>
    <w:qFormat/>
    <w:uiPriority w:val="0"/>
    <w:pPr>
      <w:widowControl/>
      <w:spacing w:before="480" w:after="0" w:line="276" w:lineRule="auto"/>
      <w:outlineLvl w:val="9"/>
    </w:pPr>
    <w:rPr>
      <w:rFonts w:ascii="Cambria" w:hAnsi="Cambria" w:eastAsia="宋体" w:cs="Times New Roman"/>
      <w:color w:val="365F91"/>
      <w:kern w:val="0"/>
      <w:sz w:val="28"/>
      <w:szCs w:val="28"/>
    </w:rPr>
  </w:style>
  <w:style w:type="paragraph" w:customStyle="1" w:styleId="32">
    <w:name w:val="Heading #2|1"/>
    <w:basedOn w:val="1"/>
    <w:qFormat/>
    <w:uiPriority w:val="0"/>
    <w:pPr>
      <w:spacing w:after="580" w:line="614" w:lineRule="exact"/>
      <w:jc w:val="center"/>
      <w:outlineLvl w:val="1"/>
    </w:pPr>
    <w:rPr>
      <w:rFonts w:ascii="宋体" w:cs="宋体"/>
      <w:sz w:val="44"/>
      <w:szCs w:val="44"/>
      <w:lang w:val="zh-TW" w:eastAsia="zh-TW"/>
    </w:rPr>
  </w:style>
  <w:style w:type="paragraph" w:customStyle="1" w:styleId="33">
    <w:name w:val="普通(网站) Char"/>
    <w:basedOn w:val="1"/>
    <w:qFormat/>
    <w:uiPriority w:val="0"/>
    <w:pPr>
      <w:spacing w:before="100" w:beforeAutospacing="1" w:after="100" w:afterAutospacing="1"/>
      <w:jc w:val="left"/>
    </w:pPr>
    <w:rPr>
      <w:rFonts w:ascii="宋体" w:cs="Times New Roman"/>
      <w:kern w:val="0"/>
      <w:sz w:val="24"/>
      <w:szCs w:val="24"/>
    </w:rPr>
  </w:style>
  <w:style w:type="paragraph" w:styleId="34">
    <w:name w:val="List Paragraph"/>
    <w:basedOn w:val="1"/>
    <w:qFormat/>
    <w:uiPriority w:val="0"/>
    <w:pPr>
      <w:ind w:firstLine="200" w:firstLineChars="200"/>
    </w:pPr>
  </w:style>
  <w:style w:type="paragraph" w:customStyle="1" w:styleId="3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36">
    <w:name w:val="NormalCharacter"/>
    <w:qFormat/>
    <w:uiPriority w:val="0"/>
  </w:style>
  <w:style w:type="paragraph" w:customStyle="1" w:styleId="37">
    <w:name w:val="文档正文"/>
    <w:qFormat/>
    <w:uiPriority w:val="0"/>
    <w:pPr>
      <w:widowControl w:val="0"/>
      <w:adjustRightInd w:val="0"/>
      <w:spacing w:line="480" w:lineRule="atLeast"/>
      <w:jc w:val="both"/>
      <w:textAlignment w:val="baseline"/>
    </w:pPr>
    <w:rPr>
      <w:rFonts w:ascii="Arial" w:hAnsi="Arial" w:eastAsia="宋体" w:cs="Times New Roman"/>
      <w:kern w:val="0"/>
      <w:sz w:val="21"/>
      <w:szCs w:val="22"/>
      <w:lang w:val="en-US" w:eastAsia="zh-CN" w:bidi="ar-SA"/>
    </w:rPr>
  </w:style>
  <w:style w:type="character" w:customStyle="1" w:styleId="38">
    <w:name w:val="font11"/>
    <w:basedOn w:val="19"/>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6" Type="http://schemas.microsoft.com/office/2011/relationships/chartColorStyle" Target="colors5.xml"/><Relationship Id="rId5" Type="http://schemas.microsoft.com/office/2011/relationships/chartStyle" Target="style5.xml"/><Relationship Id="rId4" Type="http://schemas.openxmlformats.org/officeDocument/2006/relationships/image" Target="../media/image7.png"/><Relationship Id="rId3" Type="http://schemas.openxmlformats.org/officeDocument/2006/relationships/image" Target="../media/image6.png"/><Relationship Id="rId2" Type="http://schemas.openxmlformats.org/officeDocument/2006/relationships/themeOverride" Target="../theme/themeOverride3.xml"/><Relationship Id="rId1" Type="http://schemas.openxmlformats.org/officeDocument/2006/relationships/oleObject" Target="file:///C:\Users\Administrator\Desktop\24&#24180;&#24230;&#31038;&#31185;&#32852;&#20915;&#31639;&#20844;&#24320;&#30456;&#20851;\2024&#24180;&#20915;&#31639;&#20844;&#24320;&#30011;&#22270;&#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4&#24180;&#24230;&#31038;&#31185;&#32852;&#20915;&#31639;&#20844;&#24320;&#30456;&#20851;\2024&#24180;&#20915;&#31639;&#20844;&#24320;&#30011;&#22270;&#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4&#24180;&#24230;&#31038;&#31185;&#32852;&#20915;&#31639;&#20844;&#24320;&#30456;&#20851;\2024&#24180;&#20915;&#31639;&#20844;&#24320;&#30011;&#22270;&#34920;.xlsx" TargetMode="External"/></Relationships>
</file>

<file path=word/charts/_rels/chart4.xml.rels><?xml version="1.0" encoding="UTF-8" standalone="yes"?>
<Relationships xmlns="http://schemas.openxmlformats.org/package/2006/relationships"><Relationship Id="rId7" Type="http://schemas.microsoft.com/office/2011/relationships/chartColorStyle" Target="colors4.xml"/><Relationship Id="rId6" Type="http://schemas.microsoft.com/office/2011/relationships/chartStyle" Target="style4.xml"/><Relationship Id="rId5" Type="http://schemas.openxmlformats.org/officeDocument/2006/relationships/image" Target="../media/image5.png"/><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themeOverride" Target="../theme/themeOverride2.xml"/><Relationship Id="rId1" Type="http://schemas.openxmlformats.org/officeDocument/2006/relationships/oleObject" Target="file:///C:\Users\Administrator\Desktop\24&#24180;&#24230;&#31038;&#31185;&#32852;&#20915;&#31639;&#20844;&#24320;&#30456;&#20851;\2024&#24180;&#20915;&#31639;&#20844;&#24320;&#30011;&#22270;&#34920;.xlsx" TargetMode="External"/></Relationships>
</file>

<file path=word/charts/_rels/chart5.xml.rels><?xml version="1.0" encoding="UTF-8" standalone="yes"?>
<Relationships xmlns="http://schemas.openxmlformats.org/package/2006/relationships"><Relationship Id="rId6" Type="http://schemas.microsoft.com/office/2011/relationships/chartColorStyle" Target="colors3.xml"/><Relationship Id="rId5" Type="http://schemas.microsoft.com/office/2011/relationships/chartStyle" Target="style3.xml"/><Relationship Id="rId4" Type="http://schemas.openxmlformats.org/officeDocument/2006/relationships/image" Target="../media/image2.png"/><Relationship Id="rId3" Type="http://schemas.openxmlformats.org/officeDocument/2006/relationships/image" Target="../media/image1.png"/><Relationship Id="rId2" Type="http://schemas.openxmlformats.org/officeDocument/2006/relationships/themeOverride" Target="../theme/themeOverride1.xml"/><Relationship Id="rId1" Type="http://schemas.openxmlformats.org/officeDocument/2006/relationships/oleObject" Target="file:///C:\Users\Administrator\Desktop\24&#24180;&#24230;&#31038;&#31185;&#32852;&#20915;&#31639;&#20844;&#24320;&#30456;&#20851;\2024&#24180;&#20915;&#31639;&#20844;&#24320;&#30011;&#22270;&#34920;.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4.xml"/><Relationship Id="rId1" Type="http://schemas.openxmlformats.org/officeDocument/2006/relationships/oleObject" Target="file:///C:\Users\Administrator\Desktop\24&#24180;&#24230;&#31038;&#31185;&#32852;&#20915;&#31639;&#20844;&#24320;&#30456;&#20851;\2024&#24180;&#20915;&#31639;&#20844;&#24320;&#30011;&#22270;&#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3&#24180;&#20915;&#31639;&#20844;&#24320;&#30011;&#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收入、支出决算总计变动情况图</a:t>
            </a:r>
            <a:r>
              <a:rPr lang="en-US" altLang="zh-CN"/>
              <a:t>    </a:t>
            </a:r>
            <a:r>
              <a:rPr altLang="en-US" sz="800" b="0">
                <a:solidFill>
                  <a:schemeClr val="tx1"/>
                </a:solidFill>
                <a:uFillTx/>
              </a:rPr>
              <a:t>单位：万元</a:t>
            </a:r>
            <a:endParaRPr lang="en-US" altLang="en-US" sz="800" b="0">
              <a:solidFill>
                <a:schemeClr val="tx1"/>
              </a:solidFill>
              <a:uFillTx/>
            </a:endParaRPr>
          </a:p>
        </c:rich>
      </c:tx>
      <c:layout/>
      <c:overlay val="0"/>
      <c:spPr>
        <a:noFill/>
        <a:ln>
          <a:noFill/>
        </a:ln>
        <a:effectLst/>
      </c:spPr>
    </c:title>
    <c:autoTitleDeleted val="0"/>
    <c:plotArea>
      <c:layout/>
      <c:barChart>
        <c:barDir val="col"/>
        <c:grouping val="clustered"/>
        <c:varyColors val="0"/>
        <c:ser>
          <c:idx val="0"/>
          <c:order val="0"/>
          <c:tx>
            <c:strRef>
              <c:f>[2024年决算公开画图表.xlsx]Sheet1!$B$3</c:f>
              <c:strCache>
                <c:ptCount val="1"/>
                <c:pt idx="0">
                  <c:v>2023年度</c:v>
                </c:pt>
              </c:strCache>
            </c:strRef>
          </c:tx>
          <c:spPr>
            <a:blipFill rotWithShape="1">
              <a:blip xmlns:r="http://schemas.openxmlformats.org/officeDocument/2006/relationships" r:embed="rId3"/>
              <a:stretch>
                <a:fillRect/>
              </a:stretch>
            </a:blip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[2024年决算公开画图表.xlsx]Sheet1!$C$2:$D$2</c:f>
              <c:strCache>
                <c:ptCount val="2"/>
                <c:pt idx="0" c:formatCode="0.00%">
                  <c:v>收入</c:v>
                </c:pt>
                <c:pt idx="1">
                  <c:v>支出</c:v>
                </c:pt>
              </c:strCache>
            </c:strRef>
          </c:cat>
          <c:val>
            <c:numRef>
              <c:f>[2024年决算公开画图表.xlsx]Sheet1!$C$3:$D$3</c:f>
              <c:numCache>
                <c:formatCode>#,##0.00_ </c:formatCode>
                <c:ptCount val="2"/>
                <c:pt idx="0">
                  <c:v>299.39</c:v>
                </c:pt>
                <c:pt idx="1">
                  <c:v>299.39</c:v>
                </c:pt>
              </c:numCache>
            </c:numRef>
          </c:val>
        </c:ser>
        <c:ser>
          <c:idx val="1"/>
          <c:order val="1"/>
          <c:tx>
            <c:strRef>
              <c:f>[2024年决算公开画图表.xlsx]Sheet1!$B$4</c:f>
              <c:strCache>
                <c:ptCount val="1"/>
                <c:pt idx="0">
                  <c:v>2024年度</c:v>
                </c:pt>
              </c:strCache>
            </c:strRef>
          </c:tx>
          <c:spPr>
            <a:blipFill rotWithShape="1">
              <a:blip xmlns:r="http://schemas.openxmlformats.org/officeDocument/2006/relationships" r:embed="rId4"/>
              <a:stretch>
                <a:fillRect/>
              </a:stretch>
            </a:blip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[2024年决算公开画图表.xlsx]Sheet1!$C$2:$D$2</c:f>
              <c:strCache>
                <c:ptCount val="2"/>
                <c:pt idx="0" c:formatCode="0.00%">
                  <c:v>收入</c:v>
                </c:pt>
                <c:pt idx="1">
                  <c:v>支出</c:v>
                </c:pt>
              </c:strCache>
            </c:strRef>
          </c:cat>
          <c:val>
            <c:numRef>
              <c:f>[2024年决算公开画图表.xlsx]Sheet1!$C$4:$D$4</c:f>
              <c:numCache>
                <c:formatCode>#,##0.00_ </c:formatCode>
                <c:ptCount val="2"/>
                <c:pt idx="0">
                  <c:v>440</c:v>
                </c:pt>
                <c:pt idx="1">
                  <c:v>440</c:v>
                </c:pt>
              </c:numCache>
            </c:numRef>
          </c:val>
        </c:ser>
        <c:dLbls>
          <c:showLegendKey val="0"/>
          <c:showVal val="0"/>
          <c:showCatName val="0"/>
          <c:showSerName val="0"/>
          <c:showPercent val="0"/>
          <c:showBubbleSize val="0"/>
        </c:dLbls>
        <c:gapWidth val="150"/>
        <c:overlap val="0"/>
        <c:axId val="859169438"/>
        <c:axId val="811371691"/>
      </c:barChart>
      <c:catAx>
        <c:axId val="859169438"/>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11371691"/>
        <c:crosses val="autoZero"/>
        <c:auto val="1"/>
        <c:lblAlgn val="ctr"/>
        <c:lblOffset val="100"/>
        <c:noMultiLvlLbl val="0"/>
      </c:catAx>
      <c:valAx>
        <c:axId val="811371691"/>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5916943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noFill/>
        <a:ln>
          <a:noFill/>
        </a:ln>
        <a:effectLst/>
      </c:spPr>
    </c:plotArea>
    <c:plotVisOnly val="1"/>
    <c:dispBlanksAs val="gap"/>
    <c:showDLblsOverMax val="0"/>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0" i="0" u="none" strike="noStrike" kern="1200" baseline="0">
                <a:solidFill>
                  <a:schemeClr val="dk1">
                    <a:lumMod val="65000"/>
                    <a:lumOff val="35000"/>
                  </a:schemeClr>
                </a:solidFill>
                <a:effectLst/>
                <a:latin typeface="+mn-lt"/>
                <a:ea typeface="+mn-ea"/>
                <a:cs typeface="+mn-cs"/>
              </a:defRPr>
            </a:pPr>
            <a:r>
              <a:rPr>
                <a:solidFill>
                  <a:schemeClr val="tx1"/>
                </a:solidFill>
                <a:uFillTx/>
              </a:rPr>
              <a:t>收入决算结构图</a:t>
            </a:r>
            <a:r>
              <a:t>   </a:t>
            </a:r>
            <a:r>
              <a:rPr sz="800">
                <a:solidFill>
                  <a:schemeClr val="tx1"/>
                </a:solidFill>
              </a:rPr>
              <a:t> </a:t>
            </a:r>
            <a:r>
              <a:rPr sz="900">
                <a:solidFill>
                  <a:schemeClr val="tx1"/>
                </a:solidFill>
                <a:uFillTx/>
              </a:rPr>
              <a:t>单位：万元</a:t>
            </a:r>
            <a:endParaRPr sz="900">
              <a:solidFill>
                <a:schemeClr val="tx1"/>
              </a:solidFill>
              <a:uFillTx/>
            </a:endParaRPr>
          </a:p>
        </c:rich>
      </c:tx>
      <c:layout>
        <c:manualLayout>
          <c:xMode val="edge"/>
          <c:yMode val="edge"/>
          <c:x val="0.279164849542085"/>
          <c:y val="0.0810185185185185"/>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gradFill>
              <a:gsLst>
                <a:gs pos="0">
                  <a:srgbClr val="007BD3"/>
                </a:gs>
                <a:gs pos="100000">
                  <a:srgbClr val="034373"/>
                </a:gs>
              </a:gsLst>
              <a:lin ang="5400000" scaled="0"/>
            </a:gradFill>
            <a:scene3d>
              <a:camera prst="orthographicFront"/>
              <a:lightRig rig="threePt" dir="t"/>
            </a:scene3d>
            <a:sp3d contourW="9525"/>
          </c:spPr>
          <c:explosion val="10"/>
          <c:dPt>
            <c:idx val="0"/>
            <c:bubble3D val="0"/>
            <c:spPr>
              <a:gradFill>
                <a:gsLst>
                  <a:gs pos="0">
                    <a:srgbClr val="007BD3"/>
                  </a:gs>
                  <a:gs pos="100000">
                    <a:srgbClr val="034373"/>
                  </a:gs>
                </a:gsLst>
                <a:lin ang="5400000" scaled="0"/>
              </a:gradFill>
              <a:ln>
                <a:noFill/>
              </a:ln>
              <a:effectLst>
                <a:outerShdw blurRad="76200" dir="18900000" sy="23000" kx="-1200000" algn="bl" rotWithShape="0">
                  <a:prstClr val="black">
                    <a:alpha val="20000"/>
                  </a:prstClr>
                </a:outerShdw>
              </a:effectLst>
            </c:spPr>
          </c:dPt>
          <c:dLbls>
            <c:dLbl>
              <c:idx val="0"/>
              <c:layout>
                <c:manualLayout>
                  <c:x val="0.00817603132391868"/>
                  <c:y val="-0.389418094210042"/>
                </c:manualLayout>
              </c:layout>
              <c:tx>
                <c:rich>
                  <a:bodyPr rot="0" spcFirstLastPara="0" vertOverflow="ellipsis" vert="horz" wrap="square" lIns="38100" tIns="19050" rIns="38100" bIns="19050" anchor="ctr" anchorCtr="1"/>
                  <a:lstStyle/>
                  <a:p>
                    <a:pPr defTabSz="914400">
                      <a:defRPr lang="zh-CN" sz="1000" b="1" i="0" u="none" strike="noStrike" kern="1200" cap="none" spc="0" normalizeH="0" baseline="0">
                        <a:solidFill>
                          <a:schemeClr val="tx1"/>
                        </a:solidFill>
                        <a:uFill>
                          <a:solidFill>
                            <a:schemeClr val="bg1"/>
                          </a:solidFill>
                        </a:uFill>
                        <a:latin typeface="+mn-lt"/>
                        <a:ea typeface="+mn-ea"/>
                        <a:cs typeface="+mn-cs"/>
                      </a:defRPr>
                    </a:pPr>
                    <a:r>
                      <a:rPr u="none" strike="noStrike" cap="none" normalizeH="0">
                        <a:solidFill>
                          <a:schemeClr val="tx1"/>
                        </a:solidFill>
                        <a:uFill>
                          <a:solidFill>
                            <a:schemeClr val="bg1"/>
                          </a:solidFill>
                        </a:uFill>
                      </a:rPr>
                      <a:t>一般公共预算财政拨款收入</a:t>
                    </a:r>
                    <a:r>
                      <a:rPr lang="en-US" altLang="zh-CN" u="none" strike="noStrike" cap="none" normalizeH="0">
                        <a:solidFill>
                          <a:schemeClr val="tx1"/>
                        </a:solidFill>
                        <a:uFill>
                          <a:solidFill>
                            <a:schemeClr val="bg1"/>
                          </a:solidFill>
                        </a:uFill>
                      </a:rPr>
                      <a:t>440.00</a:t>
                    </a:r>
                    <a:r>
                      <a:rPr u="none" strike="noStrike" cap="none" normalizeH="0">
                        <a:solidFill>
                          <a:schemeClr val="tx1"/>
                        </a:solidFill>
                        <a:uFill>
                          <a:solidFill>
                            <a:schemeClr val="bg1"/>
                          </a:solidFill>
                        </a:uFill>
                      </a:rPr>
                      <a:t>万元，占</a:t>
                    </a:r>
                    <a:r>
                      <a:rPr lang="en-US" altLang="zh-CN" u="none" strike="noStrike" cap="none" normalizeH="0">
                        <a:solidFill>
                          <a:schemeClr val="tx1"/>
                        </a:solidFill>
                        <a:uFill>
                          <a:solidFill>
                            <a:schemeClr val="bg1"/>
                          </a:solidFill>
                        </a:uFill>
                      </a:rPr>
                      <a:t>100</a:t>
                    </a:r>
                    <a:r>
                      <a:rPr u="none" strike="noStrike" cap="none" normalizeH="0">
                        <a:solidFill>
                          <a:schemeClr val="tx1"/>
                        </a:solidFill>
                        <a:uFill>
                          <a:solidFill>
                            <a:schemeClr val="bg1"/>
                          </a:solidFill>
                        </a:uFill>
                      </a:rPr>
                      <a:t>%</a:t>
                    </a:r>
                    <a:endParaRPr u="none" strike="noStrike" cap="none" normalizeH="0">
                      <a:solidFill>
                        <a:schemeClr val="tx1"/>
                      </a:solidFill>
                      <a:uFill>
                        <a:solidFill>
                          <a:schemeClr val="bg1"/>
                        </a:solidFill>
                      </a:uFill>
                    </a:endParaRPr>
                  </a:p>
                </c:rich>
              </c:tx>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cap="none" spc="0" normalizeH="0" baseline="0">
                    <a:solidFill>
                      <a:schemeClr val="tx1"/>
                    </a:solidFill>
                    <a:uFill>
                      <a:solidFill>
                        <a:schemeClr val="bg1"/>
                      </a:solidFill>
                    </a:u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[2024年决算公开画图表.xlsx]Sheet1!$A$26</c:f>
              <c:strCache>
                <c:ptCount val="1"/>
                <c:pt idx="0">
                  <c:v>一般公共预算财政拨款收入</c:v>
                </c:pt>
              </c:strCache>
            </c:strRef>
          </c:cat>
          <c:val>
            <c:numRef>
              <c:f>[2024年决算公开画图表.xlsx]Sheet1!$B$26</c:f>
              <c:numCache>
                <c:formatCode>#,##0.00</c:formatCode>
                <c:ptCount val="1"/>
                <c:pt idx="0">
                  <c:v>440</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支出决算结构图           </a:t>
            </a:r>
          </a:p>
        </c:rich>
      </c:tx>
      <c:layout>
        <c:manualLayout>
          <c:xMode val="edge"/>
          <c:yMode val="edge"/>
          <c:x val="0.343282730281931"/>
          <c:y val="0.050520514390692"/>
        </c:manualLayout>
      </c:layout>
      <c:overlay val="0"/>
      <c:spPr>
        <a:noFill/>
        <a:ln>
          <a:noFill/>
        </a:ln>
        <a:effectLst/>
      </c:spPr>
    </c:title>
    <c:autoTitleDeleted val="0"/>
    <c:view3D>
      <c:rotX val="25"/>
      <c:rotY val="0"/>
      <c:depthPercent val="100"/>
      <c:rAngAx val="0"/>
      <c:perspective val="2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50426863972681"/>
          <c:y val="0.224253305043251"/>
          <c:w val="0.949914627205464"/>
          <c:h val="0.742288232413906"/>
        </c:manualLayout>
      </c:layout>
      <c:pie3DChart>
        <c:varyColors val="1"/>
        <c:ser>
          <c:idx val="0"/>
          <c:order val="0"/>
          <c:spPr>
            <a:scene3d>
              <a:camera prst="orthographicFront"/>
              <a:lightRig rig="threePt" dir="t"/>
            </a:scene3d>
            <a:sp3d contourW="9525"/>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explosion val="22"/>
            <c:spPr>
              <a:solidFill>
                <a:schemeClr val="accent2"/>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基本支出</a:t>
                    </a:r>
                    <a:r>
                      <a:rPr lang="en-US" altLang="zh-CN"/>
                      <a:t>277.11</a:t>
                    </a:r>
                    <a:r>
                      <a:t>万元，占</a:t>
                    </a:r>
                    <a:r>
                      <a:rPr lang="en-US" altLang="zh-CN"/>
                      <a:t>62.97</a:t>
                    </a:r>
                    <a:r>
                      <a:t>%</a:t>
                    </a:r>
                  </a:p>
                </c:rich>
              </c:tx>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extLst>
                <c:ext xmlns:c15="http://schemas.microsoft.com/office/drawing/2012/chart" uri="{CE6537A1-D6FC-4f65-9D91-7224C49458BB}">
                  <c15:layout>
                    <c:manualLayout>
                      <c:w val="0.193183186799952"/>
                      <c:h val="0.115789473684211"/>
                    </c:manualLayout>
                  </c15:layout>
                </c:ext>
              </c:extLst>
            </c:dLbl>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项目支出</a:t>
                    </a:r>
                    <a:r>
                      <a:rPr lang="en-US" altLang="zh-CN"/>
                      <a:t>162.89</a:t>
                    </a:r>
                    <a:r>
                      <a:t>万元，占</a:t>
                    </a:r>
                    <a:r>
                      <a:rPr lang="en-US" altLang="zh-CN"/>
                      <a:t>37.03</a:t>
                    </a:r>
                    <a:r>
                      <a:t>%</a:t>
                    </a:r>
                  </a:p>
                </c:rich>
              </c:tx>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extLst>
                <c:ext xmlns:c15="http://schemas.microsoft.com/office/drawing/2012/chart" uri="{CE6537A1-D6FC-4f65-9D91-7224C49458BB}"/>
              </c:extLst>
            </c:dLbl>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[2024年决算公开画图表.xlsx]Sheet1!$A$37:$A$38</c:f>
              <c:strCache>
                <c:ptCount val="2"/>
                <c:pt idx="0" c:formatCode="#,##0.00">
                  <c:v>基本支出</c:v>
                </c:pt>
                <c:pt idx="1" c:formatCode="#,##0.00">
                  <c:v>项目支出</c:v>
                </c:pt>
              </c:strCache>
            </c:strRef>
          </c:cat>
          <c:val>
            <c:numRef>
              <c:f>[2024年决算公开画图表.xlsx]Sheet1!$B$37:$B$38</c:f>
              <c:numCache>
                <c:formatCode>#,##0.00</c:formatCode>
                <c:ptCount val="2"/>
                <c:pt idx="0">
                  <c:v>277.11</c:v>
                </c:pt>
                <c:pt idx="1" c:formatCode="General">
                  <c:v>162.89</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ln w="0" cmpd="sng">
                  <a:noFill/>
                  <a:prstDash val="solid"/>
                </a:ln>
                <a:solidFill>
                  <a:srgbClr val="616161"/>
                </a:solidFill>
                <a:effectLst/>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t>财政拨款收支决算总计变动情况图</a:t>
            </a:r>
            <a:r>
              <a:rPr lang="en-US" altLang="zh-CN"/>
              <a:t>   </a:t>
            </a:r>
            <a:r>
              <a:rPr altLang="en-US" sz="800">
                <a:solidFill>
                  <a:schemeClr val="tx1"/>
                </a:solidFill>
                <a:uFillTx/>
                <a:latin typeface="汉仪旗黑-55简" charset="0"/>
              </a:rPr>
              <a:t>单位：万元</a:t>
            </a:r>
            <a:endParaRPr lang="en-US" altLang="en-US" sz="800">
              <a:solidFill>
                <a:schemeClr val="tx1"/>
              </a:solidFill>
              <a:uFillTx/>
              <a:latin typeface="汉仪旗黑-55简" charset="0"/>
            </a:endParaRPr>
          </a:p>
        </c:rich>
      </c:tx>
      <c:layout>
        <c:manualLayout>
          <c:xMode val="edge"/>
          <c:yMode val="edge"/>
          <c:x val="0.205247629290167"/>
          <c:y val="0.0435878271233347"/>
        </c:manualLayout>
      </c:layout>
      <c:overlay val="0"/>
      <c:spPr>
        <a:noFill/>
        <a:ln>
          <a:noFill/>
        </a:ln>
        <a:effectLst/>
      </c:spPr>
    </c:title>
    <c:autoTitleDeleted val="0"/>
    <c:plotArea>
      <c:layout/>
      <c:barChart>
        <c:barDir val="col"/>
        <c:grouping val="clustered"/>
        <c:varyColors val="0"/>
        <c:ser>
          <c:idx val="0"/>
          <c:order val="0"/>
          <c:tx>
            <c:strRef>
              <c:f>[2024年决算公开画图表.xlsx]Sheet1!$A$52</c:f>
              <c:strCache>
                <c:ptCount val="1"/>
                <c:pt idx="0">
                  <c:v>2023年度</c:v>
                </c:pt>
              </c:strCache>
            </c:strRef>
          </c:tx>
          <c:spPr>
            <a:blipFill rotWithShape="1">
              <a:blip xmlns:r="http://schemas.openxmlformats.org/officeDocument/2006/relationships" r:embed="rId3"/>
              <a:stretch>
                <a:fillRect/>
              </a:stretch>
            </a:blip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[2024年决算公开画图表.xlsx]Sheet1!$B$51:$C$51</c:f>
              <c:strCache>
                <c:ptCount val="2"/>
                <c:pt idx="0">
                  <c:v>财政拨款收入</c:v>
                </c:pt>
                <c:pt idx="1" c:formatCode="0.00%">
                  <c:v>财政拨款支出</c:v>
                </c:pt>
              </c:strCache>
            </c:strRef>
          </c:cat>
          <c:val>
            <c:numRef>
              <c:f>[2024年决算公开画图表.xlsx]Sheet1!$B$52:$C$52</c:f>
              <c:numCache>
                <c:formatCode>#,##0.00</c:formatCode>
                <c:ptCount val="2"/>
                <c:pt idx="0">
                  <c:v>299.39</c:v>
                </c:pt>
                <c:pt idx="1">
                  <c:v>299.39</c:v>
                </c:pt>
              </c:numCache>
            </c:numRef>
          </c:val>
        </c:ser>
        <c:ser>
          <c:idx val="1"/>
          <c:order val="1"/>
          <c:tx>
            <c:strRef>
              <c:f>[2024年决算公开画图表.xlsx]Sheet1!$A$53</c:f>
              <c:strCache>
                <c:ptCount val="1"/>
                <c:pt idx="0">
                  <c:v>2024年度</c:v>
                </c:pt>
              </c:strCache>
            </c:strRef>
          </c:tx>
          <c:spPr>
            <a:blipFill rotWithShape="1">
              <a:blip xmlns:r="http://schemas.openxmlformats.org/officeDocument/2006/relationships" r:embed="rId4"/>
              <a:stretch>
                <a:fillRect/>
              </a:stretch>
            </a:blip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[2024年决算公开画图表.xlsx]Sheet1!$B$51:$C$51</c:f>
              <c:strCache>
                <c:ptCount val="2"/>
                <c:pt idx="0">
                  <c:v>财政拨款收入</c:v>
                </c:pt>
                <c:pt idx="1" c:formatCode="0.00%">
                  <c:v>财政拨款支出</c:v>
                </c:pt>
              </c:strCache>
            </c:strRef>
          </c:cat>
          <c:val>
            <c:numRef>
              <c:f>[2024年决算公开画图表.xlsx]Sheet1!$B$53:$C$53</c:f>
              <c:numCache>
                <c:formatCode>#,##0.00</c:formatCode>
                <c:ptCount val="2"/>
                <c:pt idx="0">
                  <c:v>440</c:v>
                </c:pt>
                <c:pt idx="1">
                  <c:v>440</c:v>
                </c:pt>
              </c:numCache>
            </c:numRef>
          </c:val>
        </c:ser>
        <c:dLbls>
          <c:showLegendKey val="0"/>
          <c:showVal val="1"/>
          <c:showCatName val="0"/>
          <c:showSerName val="0"/>
          <c:showPercent val="0"/>
          <c:showBubbleSize val="0"/>
        </c:dLbls>
        <c:gapWidth val="150"/>
        <c:overlap val="0"/>
        <c:axId val="610637684"/>
        <c:axId val="732267261"/>
      </c:barChart>
      <c:catAx>
        <c:axId val="610637684"/>
        <c:scaling>
          <c:orientation val="minMax"/>
        </c:scaling>
        <c:delete val="0"/>
        <c:axPos val="b"/>
        <c:majorTickMark val="none"/>
        <c:minorTickMark val="none"/>
        <c:tickLblPos val="nextTo"/>
        <c:spPr>
          <a:noFill/>
          <a:ln w="9525" cap="flat" cmpd="sng" algn="ctr">
            <a:solidFill>
              <a:srgbClr val="7A7A7A"/>
            </a:solidFill>
            <a:round/>
          </a:ln>
          <a:effectLst/>
        </c:spPr>
        <c:txPr>
          <a:bodyPr rot="-60000000" spcFirstLastPara="0" vertOverflow="ellipsis" vert="horz" wrap="square" anchor="ctr" anchorCtr="1" forceAA="0"/>
          <a:lstStyle/>
          <a:p>
            <a:pPr>
              <a:defRPr lang="zh-CN" sz="900" b="0" i="0" u="none" strike="noStrike" kern="1200" cap="none" spc="0" normalizeH="0" baseline="0">
                <a:solidFill>
                  <a:schemeClr val="tx1">
                    <a:lumMod val="50000"/>
                    <a:lumOff val="50000"/>
                  </a:schemeClr>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732267261"/>
        <c:crosses val="autoZero"/>
        <c:auto val="1"/>
        <c:lblAlgn val="ctr"/>
        <c:lblOffset val="100"/>
        <c:noMultiLvlLbl val="0"/>
      </c:catAx>
      <c:valAx>
        <c:axId val="732267261"/>
        <c:scaling>
          <c:orientation val="minMax"/>
        </c:scaling>
        <c:delete val="0"/>
        <c:axPos val="l"/>
        <c:majorGridlines>
          <c:spPr>
            <a:ln w="9525" cap="flat" cmpd="sng" algn="ctr">
              <a:noFill/>
              <a:prstDash val="dash"/>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50000"/>
                    <a:lumOff val="50000"/>
                  </a:schemeClr>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6106376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Table>
      <c:spPr>
        <a:noFill/>
        <a:ln>
          <a:noFill/>
        </a:ln>
        <a:effectLst/>
      </c:spPr>
    </c:plotArea>
    <c:plotVisOnly val="1"/>
    <c:dispBlanksAs val="gap"/>
    <c:showDLblsOverMax val="0"/>
  </c:chart>
  <c:spPr>
    <a:blipFill rotWithShape="1">
      <a:blip xmlns:r="http://schemas.openxmlformats.org/officeDocument/2006/relationships" r:embed="rId5"/>
      <a:stretch>
        <a:fillRect/>
      </a:stretch>
    </a:blipFill>
    <a:ln w="12700" cap="flat" cmpd="sng" algn="ctr">
      <a:solidFill>
        <a:sysClr val="window" lastClr="FFFFFF"/>
      </a:solidFill>
      <a:round/>
    </a:ln>
    <a:effectLst/>
  </c:spPr>
  <c:txPr>
    <a:bodyPr/>
    <a:lstStyle/>
    <a:p>
      <a:pPr>
        <a:defRPr lang="zh-CN">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ln w="0" cmpd="sng">
                  <a:noFill/>
                  <a:prstDash val="solid"/>
                </a:ln>
                <a:solidFill>
                  <a:srgbClr val="616161"/>
                </a:solidFill>
                <a:effectLst/>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a:solidFill>
                  <a:schemeClr val="tx1"/>
                </a:solidFill>
                <a:uFillTx/>
                <a:latin typeface="汉仪旗黑-55简" charset="0"/>
              </a:rPr>
              <a:t>一般公共预算财政拨款支出决算变动情况图</a:t>
            </a:r>
            <a:r>
              <a:rPr lang="en-US" altLang="zh-CN"/>
              <a:t>   </a:t>
            </a:r>
            <a:r>
              <a:rPr altLang="en-US" sz="800">
                <a:solidFill>
                  <a:schemeClr val="tx1"/>
                </a:solidFill>
                <a:uFillTx/>
                <a:latin typeface="汉仪旗黑-55简" charset="0"/>
              </a:rPr>
              <a:t>单位：万元</a:t>
            </a:r>
            <a:endParaRPr lang="en-US" altLang="en-US" sz="800">
              <a:solidFill>
                <a:schemeClr val="tx1"/>
              </a:solidFill>
              <a:uFillTx/>
              <a:latin typeface="汉仪旗黑-55简" charset="0"/>
            </a:endParaRPr>
          </a:p>
        </c:rich>
      </c:tx>
      <c:layout>
        <c:manualLayout>
          <c:xMode val="edge"/>
          <c:yMode val="edge"/>
          <c:x val="0.113566254620931"/>
          <c:y val="0.0784924064891395"/>
        </c:manualLayout>
      </c:layout>
      <c:overlay val="0"/>
      <c:spPr>
        <a:noFill/>
        <a:ln>
          <a:noFill/>
        </a:ln>
        <a:effectLst/>
      </c:spPr>
    </c:title>
    <c:autoTitleDeleted val="0"/>
    <c:plotArea>
      <c:layout>
        <c:manualLayout>
          <c:layoutTarget val="inner"/>
          <c:xMode val="edge"/>
          <c:yMode val="edge"/>
          <c:x val="0.136477658740528"/>
          <c:y val="0.294132412940834"/>
          <c:w val="0.740188136921871"/>
          <c:h val="0.562381477398015"/>
        </c:manualLayout>
      </c:layout>
      <c:barChart>
        <c:barDir val="col"/>
        <c:grouping val="clustered"/>
        <c:varyColors val="0"/>
        <c:ser>
          <c:idx val="0"/>
          <c:order val="0"/>
          <c:tx>
            <c:strRef>
              <c:f>[2024年决算公开画图表.xlsx]Sheet1!$B$73</c:f>
              <c:strCache>
                <c:ptCount val="1"/>
                <c:pt idx="0">
                  <c:v>一般公共预算财政拨款支出</c:v>
                </c:pt>
              </c:strCache>
            </c:strRef>
          </c:tx>
          <c:spPr>
            <a:blipFill rotWithShape="1">
              <a:blip xmlns:r="http://schemas.openxmlformats.org/officeDocument/2006/relationships" r:embed="rId3"/>
              <a:stretch>
                <a:fillRect/>
              </a:stretch>
            </a:blip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[2024年决算公开画图表.xlsx]Sheet1!$A$74:$A$75</c:f>
              <c:strCache>
                <c:ptCount val="2"/>
                <c:pt idx="0">
                  <c:v>2023年度</c:v>
                </c:pt>
                <c:pt idx="1">
                  <c:v>2024年度</c:v>
                </c:pt>
              </c:strCache>
            </c:strRef>
          </c:cat>
          <c:val>
            <c:numRef>
              <c:f>[2024年决算公开画图表.xlsx]Sheet1!$B$74:$B$75</c:f>
              <c:numCache>
                <c:formatCode>#,##0.00</c:formatCode>
                <c:ptCount val="2"/>
                <c:pt idx="0">
                  <c:v>299.39</c:v>
                </c:pt>
                <c:pt idx="1">
                  <c:v>440</c:v>
                </c:pt>
              </c:numCache>
            </c:numRef>
          </c:val>
        </c:ser>
        <c:dLbls>
          <c:showLegendKey val="0"/>
          <c:showVal val="1"/>
          <c:showCatName val="0"/>
          <c:showSerName val="0"/>
          <c:showPercent val="0"/>
          <c:showBubbleSize val="0"/>
        </c:dLbls>
        <c:gapWidth val="219"/>
        <c:overlap val="-33"/>
        <c:axId val="414918142"/>
        <c:axId val="590063108"/>
      </c:barChart>
      <c:catAx>
        <c:axId val="414918142"/>
        <c:scaling>
          <c:orientation val="minMax"/>
        </c:scaling>
        <c:delete val="0"/>
        <c:axPos val="b"/>
        <c:majorTickMark val="none"/>
        <c:minorTickMark val="none"/>
        <c:tickLblPos val="nextTo"/>
        <c:spPr>
          <a:noFill/>
          <a:ln w="9525" cap="flat" cmpd="sng" algn="ctr">
            <a:solidFill>
              <a:srgbClr val="7A7A7A"/>
            </a:solidFill>
            <a:round/>
          </a:ln>
          <a:effectLst/>
        </c:spPr>
        <c:txPr>
          <a:bodyPr rot="-60000000" spcFirstLastPara="0" vertOverflow="ellipsis" vert="horz" wrap="square" anchor="ctr" anchorCtr="1" forceAA="0"/>
          <a:lstStyle/>
          <a:p>
            <a:pPr>
              <a:defRPr lang="zh-CN" sz="900" b="0" i="0" u="none" strike="noStrike" kern="1200" cap="none" spc="0" normalizeH="0" baseline="0">
                <a:solidFill>
                  <a:srgbClr val="616161"/>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590063108"/>
        <c:crosses val="autoZero"/>
        <c:auto val="1"/>
        <c:lblAlgn val="ctr"/>
        <c:lblOffset val="100"/>
        <c:noMultiLvlLbl val="0"/>
      </c:catAx>
      <c:valAx>
        <c:axId val="590063108"/>
        <c:scaling>
          <c:orientation val="minMax"/>
        </c:scaling>
        <c:delete val="0"/>
        <c:axPos val="l"/>
        <c:majorGridlines>
          <c:spPr>
            <a:ln w="9525" cap="flat" cmpd="sng" algn="ctr">
              <a:noFill/>
              <a:prstDash val="dash"/>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414918142"/>
        <c:crosses val="autoZero"/>
        <c:crossBetween val="between"/>
      </c:valAx>
      <c:spPr>
        <a:noFill/>
        <a:ln>
          <a:noFill/>
        </a:ln>
        <a:effectLst/>
      </c:spPr>
    </c:plotArea>
    <c:legend>
      <c:legendPos val="t"/>
      <c:layout>
        <c:manualLayout>
          <c:xMode val="edge"/>
          <c:yMode val="edge"/>
          <c:x val="0.28565539983512"/>
          <c:y val="0.183795227097768"/>
        </c:manualLayout>
      </c:layout>
      <c:overlay val="0"/>
      <c:spPr>
        <a:noFill/>
        <a:ln>
          <a:noFill/>
        </a:ln>
        <a:effectLst/>
      </c:spPr>
      <c:txPr>
        <a:bodyPr rot="0" spcFirstLastPara="0" vertOverflow="ellipsis" vert="horz" wrap="square" anchor="ctr" anchorCtr="1" forceAA="0"/>
        <a:lstStyle/>
        <a:p>
          <a:pPr>
            <a:defRPr lang="zh-CN" sz="900" b="0" i="0" u="none" strike="noStrike" kern="1200" cap="none" spc="0" normalizeH="0" baseline="0">
              <a:solidFill>
                <a:srgbClr val="616161"/>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
    <c:plotVisOnly val="1"/>
    <c:dispBlanksAs val="gap"/>
    <c:showDLblsOverMax val="0"/>
  </c:chart>
  <c:spPr>
    <a:blipFill rotWithShape="1">
      <a:blip xmlns:r="http://schemas.openxmlformats.org/officeDocument/2006/relationships" r:embed="rId4"/>
      <a:stretch>
        <a:fillRect/>
      </a:stretch>
    </a:blipFill>
    <a:ln w="12700" cap="flat" cmpd="sng" algn="ctr">
      <a:noFill/>
      <a:round/>
    </a:ln>
    <a:effectLst/>
  </c:spPr>
  <c:txPr>
    <a:bodyPr/>
    <a:lstStyle/>
    <a:p>
      <a:pPr>
        <a:defRPr lang="zh-CN">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t>一般公共预算财政拨款支出决算结构图</a:t>
            </a:r>
          </a:p>
        </c:rich>
      </c:tx>
      <c:layout>
        <c:manualLayout>
          <c:xMode val="edge"/>
          <c:yMode val="edge"/>
          <c:x val="0.175748060583672"/>
          <c:y val="0.11491935483871"/>
        </c:manualLayout>
      </c:layout>
      <c:overlay val="0"/>
      <c:spPr>
        <a:noFill/>
        <a:ln>
          <a:noFill/>
        </a:ln>
        <a:effectLst/>
      </c:spPr>
    </c:title>
    <c:autoTitleDeleted val="0"/>
    <c:view3D>
      <c:rotX val="25"/>
      <c:rotY val="0"/>
      <c:depthPercent val="100"/>
      <c:rAngAx val="0"/>
      <c:perspective val="2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79628074385123"/>
          <c:y val="0.234094674556213"/>
          <c:w val="0.833545290941812"/>
          <c:h val="0.69098224852071"/>
        </c:manualLayout>
      </c:layout>
      <c:pie3DChart>
        <c:varyColors val="1"/>
        <c:ser>
          <c:idx val="0"/>
          <c:order val="0"/>
          <c:spPr>
            <a:scene3d>
              <a:camera prst="orthographicFront"/>
              <a:lightRig rig="threePt" dir="t"/>
            </a:scene3d>
            <a:sp3d contourW="9525"/>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explosion val="22"/>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contourW="9525"/>
            </c:spPr>
          </c:dPt>
          <c:dLbls>
            <c:dLbl>
              <c:idx val="0"/>
              <c:layout>
                <c:manualLayout>
                  <c:x val="-0.2375524895021"/>
                  <c:y val="-0.17573964497041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dk1"/>
                        </a:solidFill>
                        <a:latin typeface="+mn-lt"/>
                        <a:ea typeface="+mn-ea"/>
                        <a:cs typeface="+mn-cs"/>
                      </a:defRPr>
                    </a:pPr>
                    <a:r>
                      <a:rPr>
                        <a:solidFill>
                          <a:schemeClr val="dk1"/>
                        </a:solidFill>
                        <a:latin typeface="+mn-lt"/>
                        <a:ea typeface="+mn-ea"/>
                        <a:cs typeface="+mn-cs"/>
                      </a:rPr>
                      <a:t>一般公共服务支出</a:t>
                    </a:r>
                    <a:endParaRPr>
                      <a:solidFill>
                        <a:schemeClr val="dk1"/>
                      </a:solidFill>
                      <a:latin typeface="+mn-lt"/>
                      <a:ea typeface="+mn-ea"/>
                      <a:cs typeface="+mn-cs"/>
                    </a:endParaRPr>
                  </a:p>
                  <a:p>
                    <a:pPr defTabSz="914400">
                      <a:defRPr lang="zh-CN" sz="900" b="0" i="0" u="none" strike="noStrike" kern="1200" baseline="0">
                        <a:solidFill>
                          <a:schemeClr val="dk1"/>
                        </a:solidFill>
                        <a:latin typeface="+mn-lt"/>
                        <a:ea typeface="+mn-ea"/>
                        <a:cs typeface="+mn-cs"/>
                      </a:defRPr>
                    </a:pPr>
                    <a:r>
                      <a:rPr lang="en-US" altLang="zh-CN">
                        <a:solidFill>
                          <a:schemeClr val="dk1"/>
                        </a:solidFill>
                        <a:latin typeface="+mn-lt"/>
                        <a:ea typeface="+mn-ea"/>
                        <a:cs typeface="+mn-cs"/>
                      </a:rPr>
                      <a:t>274.63</a:t>
                    </a:r>
                    <a:r>
                      <a:rPr altLang="en-US">
                        <a:solidFill>
                          <a:schemeClr val="dk1"/>
                        </a:solidFill>
                        <a:latin typeface="+mn-lt"/>
                        <a:ea typeface="+mn-ea"/>
                        <a:cs typeface="+mn-cs"/>
                      </a:rPr>
                      <a:t>万元，占</a:t>
                    </a:r>
                    <a:r>
                      <a:rPr lang="en-US" altLang="zh-CN">
                        <a:solidFill>
                          <a:schemeClr val="dk1"/>
                        </a:solidFill>
                        <a:latin typeface="+mn-lt"/>
                        <a:ea typeface="+mn-ea"/>
                        <a:cs typeface="+mn-cs"/>
                      </a:rPr>
                      <a:t>62.42</a:t>
                    </a:r>
                    <a:r>
                      <a:rPr>
                        <a:solidFill>
                          <a:schemeClr val="dk1"/>
                        </a:solidFill>
                        <a:latin typeface="+mn-lt"/>
                        <a:ea typeface="+mn-ea"/>
                        <a:cs typeface="+mn-cs"/>
                      </a:rPr>
                      <a:t>%</a:t>
                    </a:r>
                    <a:endParaRPr>
                      <a:solidFill>
                        <a:schemeClr val="dk1"/>
                      </a:solidFill>
                      <a:latin typeface="+mn-lt"/>
                      <a:ea typeface="+mn-ea"/>
                      <a:cs typeface="+mn-cs"/>
                    </a:endParaRPr>
                  </a:p>
                </c:rich>
              </c:tx>
              <c:numFmt formatCode="General" sourceLinked="1"/>
              <c:spPr>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E7E6E6">
                      <a:lumMod val="75000"/>
                    </a:srgbClr>
                  </a:solidFill>
                  <a:prstDash val="solid"/>
                  <a:miter lim="800000"/>
                </a:ln>
                <a:effectLst/>
                <a:scene3d>
                  <a:camera prst="orthographicFront"/>
                  <a:lightRig rig="threePt" dir="t"/>
                </a:scene3d>
                <a:sp3d>
                  <a:extrusionClr>
                    <a:srgbClr val="FFFFFF"/>
                  </a:extrusionClr>
                  <a:contourClr>
                    <a:srgbClr val="FFFFFF"/>
                  </a:contourClr>
                </a:sp3d>
              </c:spPr>
              <c:txPr>
                <a:bodyPr rot="0" spcFirstLastPara="0" vertOverflow="ellipsis" vert="horz" wrap="square" lIns="38100" tIns="19050" rIns="38100" bIns="19050" anchor="ctr" anchorCtr="1"/>
                <a:lstStyle/>
                <a:p>
                  <a:pPr>
                    <a:defRPr lang="zh-CN" sz="900" b="0" i="0" u="none" strike="noStrike" kern="1200" baseline="0">
                      <a:solidFill>
                        <a:schemeClr val="dk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241031793641272"/>
                      <c:h val="0.147218934911243"/>
                    </c:manualLayout>
                  </c15:layout>
                </c:ext>
              </c:extLst>
            </c:dLbl>
            <c:dLbl>
              <c:idx val="1"/>
              <c:layout>
                <c:manualLayout>
                  <c:x val="0.0360453141091658"/>
                  <c:y val="-0.10837155963302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dk1"/>
                        </a:solidFill>
                        <a:latin typeface="+mn-lt"/>
                        <a:ea typeface="+mn-ea"/>
                        <a:cs typeface="+mn-cs"/>
                      </a:defRPr>
                    </a:pPr>
                    <a:r>
                      <a:rPr>
                        <a:solidFill>
                          <a:schemeClr val="dk1"/>
                        </a:solidFill>
                        <a:latin typeface="+mn-lt"/>
                        <a:ea typeface="+mn-ea"/>
                        <a:cs typeface="+mn-cs"/>
                      </a:rPr>
                      <a:t>文化旅游体育</a:t>
                    </a:r>
                    <a:endParaRPr>
                      <a:solidFill>
                        <a:schemeClr val="dk1"/>
                      </a:solidFill>
                      <a:latin typeface="+mn-lt"/>
                      <a:ea typeface="+mn-ea"/>
                      <a:cs typeface="+mn-cs"/>
                    </a:endParaRPr>
                  </a:p>
                  <a:p>
                    <a:pPr defTabSz="914400">
                      <a:defRPr lang="zh-CN" sz="900" b="0" i="0" u="none" strike="noStrike" kern="1200" baseline="0">
                        <a:solidFill>
                          <a:schemeClr val="dk1"/>
                        </a:solidFill>
                        <a:latin typeface="+mn-lt"/>
                        <a:ea typeface="+mn-ea"/>
                        <a:cs typeface="+mn-cs"/>
                      </a:defRPr>
                    </a:pPr>
                    <a:r>
                      <a:rPr>
                        <a:solidFill>
                          <a:schemeClr val="dk1"/>
                        </a:solidFill>
                        <a:latin typeface="+mn-lt"/>
                        <a:ea typeface="+mn-ea"/>
                        <a:cs typeface="+mn-cs"/>
                      </a:rPr>
                      <a:t>与传媒支出</a:t>
                    </a:r>
                    <a:endParaRPr>
                      <a:solidFill>
                        <a:schemeClr val="dk1"/>
                      </a:solidFill>
                      <a:latin typeface="+mn-lt"/>
                      <a:ea typeface="+mn-ea"/>
                      <a:cs typeface="+mn-cs"/>
                    </a:endParaRPr>
                  </a:p>
                  <a:p>
                    <a:pPr defTabSz="914400">
                      <a:defRPr lang="zh-CN" sz="900" b="0" i="0" u="none" strike="noStrike" kern="1200" baseline="0">
                        <a:solidFill>
                          <a:schemeClr val="dk1"/>
                        </a:solidFill>
                        <a:latin typeface="+mn-lt"/>
                        <a:ea typeface="+mn-ea"/>
                        <a:cs typeface="+mn-cs"/>
                      </a:defRPr>
                    </a:pPr>
                    <a:r>
                      <a:rPr lang="en-US" altLang="zh-CN">
                        <a:solidFill>
                          <a:schemeClr val="dk1"/>
                        </a:solidFill>
                        <a:latin typeface="+mn-lt"/>
                        <a:ea typeface="+mn-ea"/>
                        <a:cs typeface="+mn-cs"/>
                      </a:rPr>
                      <a:t>100</a:t>
                    </a:r>
                    <a:r>
                      <a:rPr altLang="en-US">
                        <a:solidFill>
                          <a:schemeClr val="dk1"/>
                        </a:solidFill>
                        <a:latin typeface="+mn-lt"/>
                        <a:ea typeface="+mn-ea"/>
                        <a:cs typeface="+mn-cs"/>
                      </a:rPr>
                      <a:t>万元，占</a:t>
                    </a:r>
                    <a:r>
                      <a:rPr lang="en-US" altLang="zh-CN">
                        <a:solidFill>
                          <a:schemeClr val="dk1"/>
                        </a:solidFill>
                        <a:latin typeface="+mn-lt"/>
                        <a:ea typeface="+mn-ea"/>
                        <a:cs typeface="+mn-cs"/>
                      </a:rPr>
                      <a:t>22.73</a:t>
                    </a:r>
                    <a:r>
                      <a:rPr>
                        <a:solidFill>
                          <a:schemeClr val="dk1"/>
                        </a:solidFill>
                        <a:latin typeface="+mn-lt"/>
                        <a:ea typeface="+mn-ea"/>
                        <a:cs typeface="+mn-cs"/>
                      </a:rPr>
                      <a:t>%</a:t>
                    </a:r>
                    <a:endParaRPr>
                      <a:solidFill>
                        <a:schemeClr val="dk1"/>
                      </a:solidFill>
                      <a:latin typeface="+mn-lt"/>
                      <a:ea typeface="+mn-ea"/>
                      <a:cs typeface="+mn-cs"/>
                    </a:endParaRPr>
                  </a:p>
                </c:rich>
              </c:tx>
              <c:dLblPos val="bestFit"/>
              <c:showLegendKey val="0"/>
              <c:showVal val="0"/>
              <c:showCatName val="0"/>
              <c:showSerName val="0"/>
              <c:showPercent val="1"/>
              <c:showBubbleSize val="0"/>
              <c:extLst>
                <c:ext xmlns:c15="http://schemas.microsoft.com/office/drawing/2012/chart" uri="{CE6537A1-D6FC-4f65-9D91-7224C49458BB}">
                  <c15:layout>
                    <c:manualLayout>
                      <c:w val="0.233833233353329"/>
                      <c:h val="0.129112426035503"/>
                    </c:manualLayout>
                  </c15:layout>
                </c:ext>
              </c:extLst>
            </c:dLbl>
            <c:dLbl>
              <c:idx val="2"/>
              <c:layout>
                <c:manualLayout>
                  <c:x val="0.0720906282183316"/>
                  <c:y val="0.018922018348623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dk1"/>
                        </a:solidFill>
                        <a:latin typeface="+mn-lt"/>
                        <a:ea typeface="+mn-ea"/>
                        <a:cs typeface="+mn-cs"/>
                      </a:defRPr>
                    </a:pPr>
                    <a:r>
                      <a:rPr>
                        <a:solidFill>
                          <a:schemeClr val="dk1"/>
                        </a:solidFill>
                        <a:latin typeface="+mn-lt"/>
                        <a:ea typeface="+mn-ea"/>
                        <a:cs typeface="+mn-cs"/>
                      </a:rPr>
                      <a:t>社会保障和就业支出</a:t>
                    </a:r>
                    <a:endParaRPr>
                      <a:solidFill>
                        <a:schemeClr val="dk1"/>
                      </a:solidFill>
                      <a:latin typeface="+mn-lt"/>
                      <a:ea typeface="+mn-ea"/>
                      <a:cs typeface="+mn-cs"/>
                    </a:endParaRPr>
                  </a:p>
                  <a:p>
                    <a:pPr defTabSz="914400">
                      <a:defRPr lang="zh-CN" sz="900" b="0" i="0" u="none" strike="noStrike" kern="1200" baseline="0">
                        <a:solidFill>
                          <a:schemeClr val="dk1"/>
                        </a:solidFill>
                        <a:latin typeface="+mn-lt"/>
                        <a:ea typeface="+mn-ea"/>
                        <a:cs typeface="+mn-cs"/>
                      </a:defRPr>
                    </a:pPr>
                    <a:r>
                      <a:rPr lang="en-US" altLang="zh-CN">
                        <a:solidFill>
                          <a:schemeClr val="dk1"/>
                        </a:solidFill>
                        <a:latin typeface="+mn-lt"/>
                        <a:ea typeface="+mn-ea"/>
                        <a:cs typeface="+mn-cs"/>
                      </a:rPr>
                      <a:t>35.18</a:t>
                    </a:r>
                    <a:r>
                      <a:rPr altLang="en-US">
                        <a:solidFill>
                          <a:schemeClr val="dk1"/>
                        </a:solidFill>
                        <a:latin typeface="+mn-lt"/>
                        <a:ea typeface="+mn-ea"/>
                        <a:cs typeface="+mn-cs"/>
                      </a:rPr>
                      <a:t>万元，占</a:t>
                    </a:r>
                    <a:r>
                      <a:rPr>
                        <a:solidFill>
                          <a:schemeClr val="dk1"/>
                        </a:solidFill>
                        <a:latin typeface="+mn-lt"/>
                        <a:ea typeface="+mn-ea"/>
                        <a:cs typeface="+mn-cs"/>
                      </a:rPr>
                      <a:t>8%</a:t>
                    </a:r>
                    <a:endParaRPr>
                      <a:solidFill>
                        <a:schemeClr val="dk1"/>
                      </a:solidFill>
                      <a:latin typeface="+mn-lt"/>
                      <a:ea typeface="+mn-ea"/>
                      <a:cs typeface="+mn-cs"/>
                    </a:endParaRPr>
                  </a:p>
                </c:rich>
              </c:tx>
              <c:dLblPos val="bestFit"/>
              <c:showLegendKey val="0"/>
              <c:showVal val="0"/>
              <c:showCatName val="0"/>
              <c:showSerName val="0"/>
              <c:showPercent val="1"/>
              <c:showBubbleSize val="0"/>
              <c:extLst>
                <c:ext xmlns:c15="http://schemas.microsoft.com/office/drawing/2012/chart" uri="{CE6537A1-D6FC-4f65-9D91-7224C49458BB}">
                  <c15:layout>
                    <c:manualLayout>
                      <c:w val="0.227028264103444"/>
                      <c:h val="0.0829128440366973"/>
                    </c:manualLayout>
                  </c15:layout>
                </c:ext>
              </c:extLst>
            </c:dLbl>
            <c:dLbl>
              <c:idx val="3"/>
              <c:layout>
                <c:manualLayout>
                  <c:x val="0.118434603501545"/>
                  <c:y val="-0.098050458715596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dk1"/>
                        </a:solidFill>
                        <a:latin typeface="+mn-lt"/>
                        <a:ea typeface="+mn-ea"/>
                        <a:cs typeface="+mn-cs"/>
                      </a:defRPr>
                    </a:pPr>
                    <a:r>
                      <a:rPr>
                        <a:solidFill>
                          <a:schemeClr val="dk1"/>
                        </a:solidFill>
                        <a:latin typeface="+mn-lt"/>
                        <a:ea typeface="+mn-ea"/>
                        <a:cs typeface="+mn-cs"/>
                      </a:rPr>
                      <a:t>卫生健康支出</a:t>
                    </a:r>
                    <a:endParaRPr>
                      <a:solidFill>
                        <a:schemeClr val="dk1"/>
                      </a:solidFill>
                      <a:latin typeface="+mn-lt"/>
                      <a:ea typeface="+mn-ea"/>
                      <a:cs typeface="+mn-cs"/>
                    </a:endParaRPr>
                  </a:p>
                  <a:p>
                    <a:pPr defTabSz="914400">
                      <a:defRPr lang="zh-CN" sz="900" b="0" i="0" u="none" strike="noStrike" kern="1200" baseline="0">
                        <a:solidFill>
                          <a:schemeClr val="dk1"/>
                        </a:solidFill>
                        <a:latin typeface="+mn-lt"/>
                        <a:ea typeface="+mn-ea"/>
                        <a:cs typeface="+mn-cs"/>
                      </a:defRPr>
                    </a:pPr>
                    <a:r>
                      <a:rPr lang="en-US" altLang="zh-CN">
                        <a:solidFill>
                          <a:schemeClr val="dk1"/>
                        </a:solidFill>
                        <a:latin typeface="+mn-lt"/>
                        <a:ea typeface="+mn-ea"/>
                        <a:cs typeface="+mn-cs"/>
                      </a:rPr>
                      <a:t>12.11</a:t>
                    </a:r>
                    <a:r>
                      <a:rPr altLang="en-US">
                        <a:solidFill>
                          <a:schemeClr val="dk1"/>
                        </a:solidFill>
                        <a:latin typeface="+mn-lt"/>
                        <a:ea typeface="+mn-ea"/>
                        <a:cs typeface="+mn-cs"/>
                      </a:rPr>
                      <a:t>万元，占</a:t>
                    </a:r>
                    <a:r>
                      <a:rPr lang="en-US" altLang="zh-CN">
                        <a:solidFill>
                          <a:schemeClr val="dk1"/>
                        </a:solidFill>
                        <a:latin typeface="+mn-lt"/>
                        <a:ea typeface="+mn-ea"/>
                        <a:cs typeface="+mn-cs"/>
                      </a:rPr>
                      <a:t>2.75</a:t>
                    </a:r>
                    <a:r>
                      <a:rPr>
                        <a:solidFill>
                          <a:schemeClr val="dk1"/>
                        </a:solidFill>
                        <a:latin typeface="+mn-lt"/>
                        <a:ea typeface="+mn-ea"/>
                        <a:cs typeface="+mn-cs"/>
                      </a:rPr>
                      <a:t>%</a:t>
                    </a:r>
                    <a:endParaRPr>
                      <a:solidFill>
                        <a:schemeClr val="dk1"/>
                      </a:solidFill>
                      <a:latin typeface="+mn-lt"/>
                      <a:ea typeface="+mn-ea"/>
                      <a:cs typeface="+mn-cs"/>
                    </a:endParaRPr>
                  </a:p>
                </c:rich>
              </c:tx>
              <c:dLblPos val="bestFit"/>
              <c:showLegendKey val="0"/>
              <c:showVal val="0"/>
              <c:showCatName val="0"/>
              <c:showSerName val="0"/>
              <c:showPercent val="1"/>
              <c:showBubbleSize val="0"/>
              <c:extLst>
                <c:ext xmlns:c15="http://schemas.microsoft.com/office/drawing/2012/chart" uri="{CE6537A1-D6FC-4f65-9D91-7224C49458BB}">
                  <c15:layout>
                    <c:manualLayout>
                      <c:w val="0.275889689895869"/>
                      <c:h val="0.0829128440366972"/>
                    </c:manualLayout>
                  </c15:layout>
                </c:ext>
              </c:extLst>
            </c:dLbl>
            <c:dLbl>
              <c:idx val="4"/>
              <c:layout>
                <c:manualLayout>
                  <c:x val="0.305526948163405"/>
                  <c:y val="0.0034403669724770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dk1"/>
                        </a:solidFill>
                        <a:latin typeface="+mn-lt"/>
                        <a:ea typeface="+mn-ea"/>
                        <a:cs typeface="+mn-cs"/>
                      </a:defRPr>
                    </a:pPr>
                    <a:r>
                      <a:rPr>
                        <a:solidFill>
                          <a:schemeClr val="dk1"/>
                        </a:solidFill>
                        <a:latin typeface="+mn-lt"/>
                        <a:ea typeface="+mn-ea"/>
                        <a:cs typeface="+mn-cs"/>
                      </a:rPr>
                      <a:t>住房保障支出</a:t>
                    </a:r>
                    <a:endParaRPr>
                      <a:solidFill>
                        <a:schemeClr val="dk1"/>
                      </a:solidFill>
                      <a:latin typeface="+mn-lt"/>
                      <a:ea typeface="+mn-ea"/>
                      <a:cs typeface="+mn-cs"/>
                    </a:endParaRPr>
                  </a:p>
                  <a:p>
                    <a:pPr defTabSz="914400">
                      <a:defRPr lang="zh-CN" sz="900" b="0" i="0" u="none" strike="noStrike" kern="1200" baseline="0">
                        <a:solidFill>
                          <a:schemeClr val="dk1"/>
                        </a:solidFill>
                        <a:latin typeface="+mn-lt"/>
                        <a:ea typeface="+mn-ea"/>
                        <a:cs typeface="+mn-cs"/>
                      </a:defRPr>
                    </a:pPr>
                    <a:r>
                      <a:rPr lang="en-US" altLang="zh-CN">
                        <a:solidFill>
                          <a:schemeClr val="dk1"/>
                        </a:solidFill>
                        <a:latin typeface="+mn-lt"/>
                        <a:ea typeface="+mn-ea"/>
                        <a:cs typeface="+mn-cs"/>
                      </a:rPr>
                      <a:t>18.08</a:t>
                    </a:r>
                    <a:r>
                      <a:rPr altLang="en-US">
                        <a:solidFill>
                          <a:schemeClr val="dk1"/>
                        </a:solidFill>
                        <a:latin typeface="+mn-lt"/>
                        <a:ea typeface="+mn-ea"/>
                        <a:cs typeface="+mn-cs"/>
                      </a:rPr>
                      <a:t>万元，占</a:t>
                    </a:r>
                    <a:r>
                      <a:rPr>
                        <a:solidFill>
                          <a:schemeClr val="dk1"/>
                        </a:solidFill>
                        <a:latin typeface="+mn-lt"/>
                        <a:ea typeface="+mn-ea"/>
                        <a:cs typeface="+mn-cs"/>
                      </a:rPr>
                      <a:t>4</a:t>
                    </a:r>
                    <a:r>
                      <a:rPr lang="en-US" altLang="zh-CN">
                        <a:solidFill>
                          <a:schemeClr val="dk1"/>
                        </a:solidFill>
                        <a:latin typeface="+mn-lt"/>
                        <a:ea typeface="+mn-ea"/>
                        <a:cs typeface="+mn-cs"/>
                      </a:rPr>
                      <a:t>.11</a:t>
                    </a:r>
                    <a:r>
                      <a:rPr>
                        <a:solidFill>
                          <a:schemeClr val="dk1"/>
                        </a:solidFill>
                        <a:latin typeface="+mn-lt"/>
                        <a:ea typeface="+mn-ea"/>
                        <a:cs typeface="+mn-cs"/>
                      </a:rPr>
                      <a:t>%</a:t>
                    </a:r>
                    <a:endParaRPr>
                      <a:solidFill>
                        <a:schemeClr val="dk1"/>
                      </a:solidFill>
                      <a:latin typeface="+mn-lt"/>
                      <a:ea typeface="+mn-ea"/>
                      <a:cs typeface="+mn-cs"/>
                    </a:endParaRPr>
                  </a:p>
                </c:rich>
              </c:tx>
              <c:dLblPos val="bestFit"/>
              <c:showLegendKey val="0"/>
              <c:showVal val="0"/>
              <c:showCatName val="0"/>
              <c:showSerName val="0"/>
              <c:showPercent val="1"/>
              <c:showBubbleSize val="0"/>
              <c:extLst>
                <c:ext xmlns:c15="http://schemas.microsoft.com/office/drawing/2012/chart" uri="{CE6537A1-D6FC-4f65-9D91-7224C49458BB}">
                  <c15:layout>
                    <c:manualLayout>
                      <c:w val="0.288934660716329"/>
                      <c:h val="0.0864678899082569"/>
                    </c:manualLayout>
                  </c15:layout>
                </c:ext>
              </c:extLst>
            </c:dLbl>
            <c:numFmt formatCode="General" sourceLinked="1"/>
            <c:spPr>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E7E6E6">
                    <a:lumMod val="75000"/>
                  </a:srgbClr>
                </a:solidFill>
                <a:prstDash val="solid"/>
                <a:miter lim="800000"/>
              </a:ln>
              <a:effectLst/>
              <a:scene3d>
                <a:camera prst="orthographicFront"/>
                <a:lightRig rig="threePt" dir="t"/>
              </a:scene3d>
              <a:sp3d>
                <a:extrusionClr>
                  <a:srgbClr val="FFFFFF"/>
                </a:extrusionClr>
                <a:contourClr>
                  <a:srgbClr val="FFFFFF"/>
                </a:contourClr>
              </a:sp3d>
            </c:spPr>
            <c:txPr>
              <a:bodyPr rot="0" spcFirstLastPara="0" vertOverflow="ellipsis" vert="horz" wrap="square" lIns="38100" tIns="19050" rIns="38100" bIns="19050" anchor="ctr" anchorCtr="1"/>
              <a:lstStyle/>
              <a:p>
                <a:pPr>
                  <a:defRPr lang="zh-CN" sz="900" b="0" i="0" u="none" strike="noStrike" kern="1200" baseline="0">
                    <a:solidFill>
                      <a:schemeClr val="dk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[2024年决算公开画图表.xlsx]Sheet1!$A$103:$A$107</c:f>
              <c:strCache>
                <c:ptCount val="5"/>
                <c:pt idx="0">
                  <c:v>一般公共服务支出</c:v>
                </c:pt>
                <c:pt idx="1">
                  <c:v>文化旅游体育与传媒支出</c:v>
                </c:pt>
                <c:pt idx="2">
                  <c:v>社会保障和就业支出</c:v>
                </c:pt>
                <c:pt idx="3">
                  <c:v>卫生健康支出</c:v>
                </c:pt>
                <c:pt idx="4">
                  <c:v>住房保障支出</c:v>
                </c:pt>
              </c:strCache>
            </c:strRef>
          </c:cat>
          <c:val>
            <c:numRef>
              <c:f>[2024年决算公开画图表.xlsx]Sheet1!$B$103:$B$107</c:f>
              <c:numCache>
                <c:formatCode>#,##0.00_ </c:formatCode>
                <c:ptCount val="5"/>
                <c:pt idx="0">
                  <c:v>274.63</c:v>
                </c:pt>
                <c:pt idx="1">
                  <c:v>100</c:v>
                </c:pt>
                <c:pt idx="2">
                  <c:v>35.18</c:v>
                </c:pt>
                <c:pt idx="3">
                  <c:v>12.11</c:v>
                </c:pt>
                <c:pt idx="4">
                  <c:v>18.08</c:v>
                </c:pt>
              </c:numCache>
            </c:numRef>
          </c:val>
        </c:ser>
        <c:dLbls>
          <c:showLegendKey val="0"/>
          <c:showVal val="0"/>
          <c:showCatName val="0"/>
          <c:showSerName val="0"/>
          <c:showPercent val="1"/>
          <c:showBubbleSize val="0"/>
        </c:dLbls>
      </c:pie3DChart>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defRPr>
            </a:pPr>
          </a:p>
        </c:txPr>
      </c:legendEntry>
      <c:layout>
        <c:manualLayout>
          <c:xMode val="edge"/>
          <c:yMode val="edge"/>
          <c:x val="0.0759142962689324"/>
          <c:y val="0.899462365591398"/>
          <c:w val="0.827761359438493"/>
          <c:h val="0.0581989247311828"/>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defRPr>
          </a:pPr>
        </a:p>
      </c:txPr>
    </c:legend>
    <c:plotVisOnly val="1"/>
    <c:dispBlanksAs val="gap"/>
    <c:showDLblsOverMax val="0"/>
  </c:chart>
  <c:spPr>
    <a:gradFill>
      <a:gsLst>
        <a:gs pos="0">
          <a:srgbClr val="FCD8D6"/>
        </a:gs>
        <a:gs pos="100000">
          <a:srgbClr val="74CBE7"/>
        </a:gs>
      </a:gsLst>
      <a:lin scaled="1"/>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“三公”经费财政拨款支出结构图</a:t>
            </a:r>
          </a:p>
        </c:rich>
      </c:tx>
      <c:layout/>
      <c:overlay val="0"/>
      <c:spPr>
        <a:noFill/>
        <a:ln>
          <a:noFill/>
        </a:ln>
        <a:effectLst/>
      </c:spPr>
    </c:title>
    <c:autoTitleDeleted val="0"/>
    <c:plotArea>
      <c:layout>
        <c:manualLayout>
          <c:layoutTarget val="inner"/>
          <c:xMode val="edge"/>
          <c:yMode val="edge"/>
          <c:x val="0.0887739845502118"/>
          <c:y val="0.157464212678937"/>
          <c:w val="0.535384998754049"/>
          <c:h val="0.798847369399517"/>
        </c:manualLayout>
      </c:layout>
      <c:pieChart>
        <c:varyColors val="1"/>
        <c:ser>
          <c:idx val="0"/>
          <c:order val="0"/>
          <c:spPr>
            <a:gradFill>
              <a:gsLst>
                <a:gs pos="0">
                  <a:srgbClr val="56A0B9"/>
                </a:gs>
                <a:gs pos="100000">
                  <a:srgbClr val="5DBDC3"/>
                </a:gs>
              </a:gsLst>
              <a:lin scaled="1"/>
            </a:gradFill>
          </c:spPr>
          <c:explosion val="0"/>
          <c:dPt>
            <c:idx val="0"/>
            <c:bubble3D val="0"/>
            <c:spPr>
              <a:gradFill>
                <a:gsLst>
                  <a:gs pos="0">
                    <a:srgbClr val="56A0B9"/>
                  </a:gs>
                  <a:gs pos="100000">
                    <a:srgbClr val="5DBDC3"/>
                  </a:gs>
                </a:gsLst>
                <a:lin scaled="1"/>
              </a:gradFill>
              <a:ln>
                <a:noFill/>
              </a:ln>
              <a:effectLst>
                <a:outerShdw blurRad="254000" sx="102000" sy="102000" algn="ctr" rotWithShape="0">
                  <a:prstClr val="black">
                    <a:alpha val="20000"/>
                  </a:prstClr>
                </a:outerShdw>
              </a:effectLst>
            </c:spPr>
          </c:dPt>
          <c:dPt>
            <c:idx val="1"/>
            <c:bubble3D val="0"/>
            <c:spPr>
              <a:gradFill>
                <a:gsLst>
                  <a:gs pos="0">
                    <a:srgbClr val="56A0B9"/>
                  </a:gs>
                  <a:gs pos="100000">
                    <a:srgbClr val="5DBDC3"/>
                  </a:gs>
                </a:gsLst>
                <a:lin scaled="1"/>
              </a:gradFill>
              <a:ln>
                <a:noFill/>
              </a:ln>
              <a:effectLst>
                <a:outerShdw blurRad="254000" sx="102000" sy="102000" algn="ctr" rotWithShape="0">
                  <a:prstClr val="black">
                    <a:alpha val="20000"/>
                  </a:prstClr>
                </a:outerShdw>
              </a:effectLst>
            </c:spPr>
          </c:dPt>
          <c:dPt>
            <c:idx val="2"/>
            <c:bubble3D val="0"/>
            <c:spPr>
              <a:gradFill>
                <a:gsLst>
                  <a:gs pos="0">
                    <a:srgbClr val="56A0B9"/>
                  </a:gs>
                  <a:gs pos="100000">
                    <a:srgbClr val="5DBDC3"/>
                  </a:gs>
                </a:gsLst>
                <a:lin scaled="1"/>
              </a:gradFill>
              <a:ln>
                <a:noFill/>
              </a:ln>
              <a:effectLst>
                <a:outerShdw blurRad="254000" sx="102000" sy="102000" algn="ctr" rotWithShape="0">
                  <a:prstClr val="black">
                    <a:alpha val="20000"/>
                  </a:prstClr>
                </a:outerShdw>
              </a:effectLst>
            </c:spPr>
          </c:dPt>
          <c:dLbls>
            <c:dLbl>
              <c:idx val="0"/>
              <c:layout>
                <c:manualLayout>
                  <c:x val="-0.169921326959192"/>
                  <c:y val="0.201463204757607"/>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因公出国（境）费用0万元</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82778961446794"/>
                  <c:y val="-0.291874333022597"/>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公务用车购置及运行费</a:t>
                    </a:r>
                    <a:r>
                      <a:rPr lang="en-US" altLang="zh-CN"/>
                      <a:t>8.76</a:t>
                    </a:r>
                    <a:r>
                      <a:t>万元, 占100%</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641923536823"/>
                  <c:y val="0.306441025827108"/>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公务接待费0万元</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[2023年决算公开画图表.xlsx]Sheet1!$A$137:$A$139</c:f>
              <c:strCache>
                <c:ptCount val="3"/>
                <c:pt idx="0">
                  <c:v>因公出国（境）费用</c:v>
                </c:pt>
                <c:pt idx="1">
                  <c:v>公务用车购置及运行费</c:v>
                </c:pt>
                <c:pt idx="2">
                  <c:v>公务接待费</c:v>
                </c:pt>
              </c:strCache>
            </c:strRef>
          </c:cat>
          <c:val>
            <c:numRef>
              <c:f>[2023年决算公开画图表.xlsx]Sheet1!$B$137:$B$139</c:f>
              <c:numCache>
                <c:formatCode>General</c:formatCode>
                <c:ptCount val="3"/>
                <c:pt idx="0">
                  <c:v>0</c:v>
                </c:pt>
                <c:pt idx="1">
                  <c:v>65.43</c:v>
                </c:pt>
                <c:pt idx="2">
                  <c:v>0</c:v>
                </c:pt>
              </c:numCache>
            </c:numRef>
          </c:val>
        </c:ser>
        <c:dLbls>
          <c:showLegendKey val="0"/>
          <c:showVal val="1"/>
          <c:showCatName val="0"/>
          <c:showSerName val="0"/>
          <c:showPercent val="0"/>
          <c:showBubbleSize val="0"/>
          <c:showLeaderLines val="1"/>
        </c:dLbls>
        <c:firstSliceAng val="28"/>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自定义 75">
    <a:dk1>
      <a:srgbClr val="000000"/>
    </a:dk1>
    <a:lt1>
      <a:srgbClr val="FFFFFF"/>
    </a:lt1>
    <a:dk2>
      <a:srgbClr val="44546A"/>
    </a:dk2>
    <a:lt2>
      <a:srgbClr val="E7E6E6"/>
    </a:lt2>
    <a:accent1>
      <a:srgbClr val="EE4135"/>
    </a:accent1>
    <a:accent2>
      <a:srgbClr val="2C4453"/>
    </a:accent2>
    <a:accent3>
      <a:srgbClr val="FFC32A"/>
    </a:accent3>
    <a:accent4>
      <a:srgbClr val="EE4135"/>
    </a:accent4>
    <a:accent5>
      <a:srgbClr val="2C4554"/>
    </a:accent5>
    <a:accent6>
      <a:srgbClr val="DEB244"/>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自定义 6">
    <a:dk1>
      <a:srgbClr val="000000"/>
    </a:dk1>
    <a:lt1>
      <a:srgbClr val="FFFFFF"/>
    </a:lt1>
    <a:dk2>
      <a:srgbClr val="0C0E1F"/>
    </a:dk2>
    <a:lt2>
      <a:srgbClr val="FEFFFF"/>
    </a:lt2>
    <a:accent1>
      <a:srgbClr val="54C9FA"/>
    </a:accent1>
    <a:accent2>
      <a:srgbClr val="6C92FD"/>
    </a:accent2>
    <a:accent3>
      <a:srgbClr val="FF731F"/>
    </a:accent3>
    <a:accent4>
      <a:srgbClr val="16CC8A"/>
    </a:accent4>
    <a:accent5>
      <a:srgbClr val="FFC619"/>
    </a:accent5>
    <a:accent6>
      <a:srgbClr val="4E37FF"/>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56</Pages>
  <Words>21887</Words>
  <Characters>24532</Characters>
  <Lines>196</Lines>
  <Paragraphs>55</Paragraphs>
  <TotalTime>15</TotalTime>
  <ScaleCrop>false</ScaleCrop>
  <LinksUpToDate>false</LinksUpToDate>
  <CharactersWithSpaces>24641</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2022-09-26T21:59:00Z</dcterms:created>
  <dc:creator>Sunyear</dc:creator>
  <cp:lastModifiedBy>Sunyear</cp:lastModifiedBy>
  <cp:lastPrinted>2022-09-26T22:45:00Z</cp:lastPrinted>
  <dcterms:modified xsi:type="dcterms:W3CDTF">2025-09-09T09:50:49Z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66FE001630B644C3848D93273FAF44E5</vt:lpwstr>
  </property>
</Properties>
</file>